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A1EAE">
      <w:pPr>
        <w:pStyle w:val="9"/>
        <w:tabs>
          <w:tab w:val="left" w:pos="9000"/>
        </w:tabs>
        <w:spacing w:line="360" w:lineRule="auto"/>
        <w:rPr>
          <w:rStyle w:val="32"/>
          <w:rFonts w:ascii="宋体" w:hAnsi="宋体" w:eastAsia="宋体" w:cs="宋体"/>
          <w:color w:val="auto"/>
          <w:szCs w:val="28"/>
          <w:highlight w:val="none"/>
        </w:rPr>
      </w:pPr>
      <w:bookmarkStart w:id="44" w:name="_GoBack"/>
      <w:r>
        <w:rPr>
          <w:rFonts w:hint="eastAsia" w:hAnsi="宋体" w:eastAsia="宋体" w:cs="宋体"/>
          <w:b/>
          <w:bCs/>
          <w:color w:val="auto"/>
          <w:sz w:val="28"/>
          <w:szCs w:val="28"/>
          <w:highlight w:val="none"/>
        </w:rPr>
        <w:t>本合同共有八册，本册为</w:t>
      </w:r>
      <w:r>
        <w:rPr>
          <w:rStyle w:val="32"/>
          <w:rFonts w:hint="eastAsia" w:ascii="宋体" w:hAnsi="宋体" w:eastAsia="宋体" w:cs="宋体"/>
          <w:color w:val="auto"/>
          <w:szCs w:val="28"/>
          <w:highlight w:val="none"/>
        </w:rPr>
        <w:t>第五册</w:t>
      </w:r>
    </w:p>
    <w:p w14:paraId="26CBEE80">
      <w:pPr>
        <w:pStyle w:val="4"/>
        <w:tabs>
          <w:tab w:val="left" w:pos="720"/>
        </w:tabs>
        <w:spacing w:before="0" w:after="0" w:line="360" w:lineRule="auto"/>
        <w:jc w:val="center"/>
        <w:rPr>
          <w:rFonts w:ascii="Arial" w:hAnsi="Arial" w:eastAsia="宋体" w:cs="Times New Roman"/>
          <w:bCs w:val="0"/>
          <w:color w:val="auto"/>
          <w:sz w:val="52"/>
          <w:szCs w:val="52"/>
          <w:highlight w:val="none"/>
        </w:rPr>
      </w:pPr>
    </w:p>
    <w:p w14:paraId="614456BD">
      <w:pPr>
        <w:pStyle w:val="4"/>
        <w:tabs>
          <w:tab w:val="left" w:pos="720"/>
        </w:tabs>
        <w:spacing w:before="0" w:after="0" w:line="360" w:lineRule="auto"/>
        <w:jc w:val="center"/>
        <w:rPr>
          <w:rFonts w:ascii="Arial" w:hAnsi="Arial" w:eastAsia="宋体" w:cs="Times New Roman"/>
          <w:bCs w:val="0"/>
          <w:color w:val="auto"/>
          <w:sz w:val="52"/>
          <w:szCs w:val="52"/>
          <w:highlight w:val="none"/>
          <w:lang w:val="zh-CN"/>
        </w:rPr>
      </w:pPr>
      <w:bookmarkStart w:id="0" w:name="_Toc500947814"/>
      <w:bookmarkStart w:id="1" w:name="_Toc469999291"/>
      <w:bookmarkStart w:id="2" w:name="_Toc439931607"/>
      <w:bookmarkStart w:id="3" w:name="_Toc439072935"/>
      <w:bookmarkStart w:id="4" w:name="_Toc516419760"/>
      <w:bookmarkStart w:id="5" w:name="_Toc496205398"/>
      <w:bookmarkStart w:id="6" w:name="_Toc492565555"/>
      <w:bookmarkStart w:id="7" w:name="_Toc469996183"/>
      <w:bookmarkStart w:id="8" w:name="_Toc469996919"/>
    </w:p>
    <w:p w14:paraId="5A4C4AC7">
      <w:pPr>
        <w:pStyle w:val="4"/>
        <w:tabs>
          <w:tab w:val="left" w:pos="720"/>
        </w:tabs>
        <w:spacing w:before="0" w:after="0" w:line="360" w:lineRule="auto"/>
        <w:jc w:val="center"/>
        <w:rPr>
          <w:rFonts w:ascii="Arial" w:hAnsi="Arial" w:eastAsia="宋体" w:cs="Times New Roman"/>
          <w:bCs w:val="0"/>
          <w:color w:val="auto"/>
          <w:sz w:val="52"/>
          <w:szCs w:val="52"/>
          <w:highlight w:val="none"/>
          <w:lang w:val="zh-CN"/>
        </w:rPr>
      </w:pPr>
    </w:p>
    <w:p w14:paraId="352E5ADD">
      <w:pPr>
        <w:pStyle w:val="4"/>
        <w:tabs>
          <w:tab w:val="left" w:pos="720"/>
        </w:tabs>
        <w:spacing w:before="0" w:after="0" w:line="360" w:lineRule="auto"/>
        <w:jc w:val="center"/>
        <w:rPr>
          <w:rFonts w:ascii="宋体" w:hAnsi="宋体" w:eastAsia="宋体" w:cs="Times New Roman"/>
          <w:bCs w:val="0"/>
          <w:color w:val="auto"/>
          <w:sz w:val="44"/>
          <w:szCs w:val="44"/>
          <w:highlight w:val="none"/>
          <w:lang w:val="zh-CN"/>
        </w:rPr>
      </w:pPr>
    </w:p>
    <w:p w14:paraId="66EEC0C8">
      <w:pPr>
        <w:pStyle w:val="4"/>
        <w:tabs>
          <w:tab w:val="left" w:pos="720"/>
        </w:tabs>
        <w:spacing w:before="0" w:after="0" w:line="360" w:lineRule="auto"/>
        <w:jc w:val="center"/>
        <w:rPr>
          <w:rFonts w:ascii="宋体" w:hAnsi="宋体" w:eastAsia="宋体" w:cs="Times New Roman"/>
          <w:bCs w:val="0"/>
          <w:color w:val="auto"/>
          <w:sz w:val="52"/>
          <w:szCs w:val="52"/>
          <w:highlight w:val="none"/>
          <w:lang w:val="zh-CN"/>
        </w:rPr>
      </w:pPr>
    </w:p>
    <w:p w14:paraId="221C9C65">
      <w:pPr>
        <w:pStyle w:val="4"/>
        <w:tabs>
          <w:tab w:val="left" w:pos="720"/>
        </w:tabs>
        <w:spacing w:before="0" w:after="0" w:line="360" w:lineRule="auto"/>
        <w:jc w:val="center"/>
        <w:rPr>
          <w:rFonts w:ascii="宋体" w:hAnsi="宋体" w:eastAsia="宋体" w:cs="Times New Roman"/>
          <w:bCs w:val="0"/>
          <w:color w:val="auto"/>
          <w:sz w:val="52"/>
          <w:szCs w:val="52"/>
          <w:highlight w:val="none"/>
          <w:lang w:val="zh-CN"/>
        </w:rPr>
      </w:pPr>
    </w:p>
    <w:p w14:paraId="3139B620">
      <w:pPr>
        <w:pStyle w:val="9"/>
        <w:tabs>
          <w:tab w:val="left" w:pos="9000"/>
        </w:tabs>
        <w:spacing w:line="360" w:lineRule="auto"/>
        <w:jc w:val="center"/>
        <w:rPr>
          <w:rFonts w:hAnsi="宋体" w:eastAsia="宋体" w:cs="宋体"/>
          <w:b/>
          <w:bCs/>
          <w:color w:val="auto"/>
          <w:sz w:val="52"/>
          <w:szCs w:val="52"/>
          <w:highlight w:val="none"/>
        </w:rPr>
      </w:pPr>
      <w:r>
        <w:rPr>
          <w:rFonts w:hint="eastAsia" w:hAnsi="宋体" w:eastAsia="宋体" w:cs="宋体"/>
          <w:b/>
          <w:bCs/>
          <w:color w:val="auto"/>
          <w:sz w:val="52"/>
          <w:szCs w:val="52"/>
          <w:highlight w:val="none"/>
        </w:rPr>
        <w:t>第五册</w:t>
      </w:r>
      <w:bookmarkEnd w:id="0"/>
      <w:bookmarkEnd w:id="1"/>
      <w:bookmarkEnd w:id="2"/>
      <w:bookmarkEnd w:id="3"/>
      <w:bookmarkEnd w:id="4"/>
      <w:bookmarkEnd w:id="5"/>
      <w:bookmarkEnd w:id="6"/>
      <w:bookmarkEnd w:id="7"/>
      <w:bookmarkEnd w:id="8"/>
    </w:p>
    <w:p w14:paraId="342F73C5">
      <w:pPr>
        <w:pStyle w:val="9"/>
        <w:tabs>
          <w:tab w:val="left" w:pos="9000"/>
        </w:tabs>
        <w:spacing w:line="360" w:lineRule="auto"/>
        <w:jc w:val="center"/>
        <w:rPr>
          <w:rFonts w:hAnsi="宋体" w:eastAsia="宋体" w:cs="宋体"/>
          <w:b/>
          <w:bCs/>
          <w:color w:val="auto"/>
          <w:sz w:val="52"/>
          <w:szCs w:val="52"/>
          <w:highlight w:val="none"/>
        </w:rPr>
      </w:pPr>
      <w:bookmarkStart w:id="9" w:name="_Toc439931608"/>
      <w:bookmarkStart w:id="10" w:name="_Toc469999292"/>
      <w:bookmarkStart w:id="11" w:name="_Toc500947815"/>
      <w:bookmarkStart w:id="12" w:name="_Toc496205399"/>
      <w:bookmarkStart w:id="13" w:name="_Toc469996920"/>
      <w:bookmarkStart w:id="14" w:name="_Toc516419761"/>
      <w:bookmarkStart w:id="15" w:name="_Toc439072936"/>
      <w:bookmarkStart w:id="16" w:name="_Toc492565556"/>
      <w:bookmarkStart w:id="17" w:name="_Toc469996184"/>
      <w:r>
        <w:rPr>
          <w:rFonts w:hint="eastAsia" w:hAnsi="宋体" w:eastAsia="宋体" w:cs="宋体"/>
          <w:b/>
          <w:bCs/>
          <w:color w:val="auto"/>
          <w:sz w:val="52"/>
          <w:szCs w:val="52"/>
          <w:highlight w:val="none"/>
        </w:rPr>
        <w:t>《总承包服务费及工作内容》</w:t>
      </w:r>
      <w:bookmarkEnd w:id="9"/>
      <w:bookmarkEnd w:id="10"/>
      <w:bookmarkEnd w:id="11"/>
      <w:bookmarkEnd w:id="12"/>
      <w:bookmarkEnd w:id="13"/>
      <w:bookmarkEnd w:id="14"/>
      <w:bookmarkEnd w:id="15"/>
      <w:bookmarkEnd w:id="16"/>
      <w:bookmarkEnd w:id="17"/>
    </w:p>
    <w:p w14:paraId="23DF1695">
      <w:pPr>
        <w:spacing w:line="600" w:lineRule="auto"/>
        <w:rPr>
          <w:rFonts w:ascii="宋体" w:hAnsi="宋体"/>
          <w:b/>
          <w:color w:val="auto"/>
          <w:sz w:val="28"/>
          <w:szCs w:val="28"/>
          <w:highlight w:val="none"/>
        </w:rPr>
      </w:pPr>
    </w:p>
    <w:p w14:paraId="4BE830F2">
      <w:pPr>
        <w:pStyle w:val="13"/>
        <w:spacing w:line="600" w:lineRule="auto"/>
        <w:jc w:val="center"/>
        <w:rPr>
          <w:color w:val="auto"/>
          <w:highlight w:val="none"/>
        </w:rPr>
      </w:pPr>
    </w:p>
    <w:p w14:paraId="223BAEE3">
      <w:pPr>
        <w:rPr>
          <w:rFonts w:ascii="宋体" w:hAnsi="宋体"/>
          <w:color w:val="auto"/>
          <w:highlight w:val="none"/>
        </w:rPr>
        <w:sectPr>
          <w:headerReference r:id="rId3" w:type="default"/>
          <w:footerReference r:id="rId4" w:type="default"/>
          <w:pgSz w:w="11906" w:h="16838"/>
          <w:pgMar w:top="1134" w:right="1134" w:bottom="1134" w:left="1134" w:header="816" w:footer="907" w:gutter="0"/>
          <w:paperSrc w:first="7" w:other="7"/>
          <w:pgNumType w:start="1"/>
          <w:cols w:space="720" w:num="1"/>
          <w:docGrid w:linePitch="312" w:charSpace="0"/>
        </w:sectPr>
      </w:pPr>
    </w:p>
    <w:tbl>
      <w:tblPr>
        <w:tblStyle w:val="15"/>
        <w:tblW w:w="4958" w:type="pct"/>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423"/>
        <w:gridCol w:w="1974"/>
        <w:gridCol w:w="2830"/>
        <w:gridCol w:w="2062"/>
        <w:gridCol w:w="2482"/>
      </w:tblGrid>
      <w:tr w14:paraId="77DF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23" w:hRule="atLeast"/>
          <w:tblHeader/>
        </w:trPr>
        <w:tc>
          <w:tcPr>
            <w:tcW w:w="5000" w:type="pct"/>
            <w:gridSpan w:val="5"/>
            <w:tcBorders>
              <w:top w:val="nil"/>
              <w:left w:val="nil"/>
              <w:right w:val="nil"/>
            </w:tcBorders>
            <w:shd w:val="clear" w:color="auto" w:fill="FFFFFF"/>
            <w:vAlign w:val="center"/>
          </w:tcPr>
          <w:p w14:paraId="40279F41">
            <w:pPr>
              <w:pStyle w:val="5"/>
              <w:jc w:val="left"/>
              <w:rPr>
                <w:rFonts w:hint="eastAsia" w:ascii="宋体" w:hAnsi="宋体" w:eastAsia="宋体" w:cs="宋体"/>
                <w:color w:val="auto"/>
                <w:sz w:val="21"/>
                <w:szCs w:val="21"/>
                <w:highlight w:val="none"/>
                <w:lang w:val="en-US"/>
              </w:rPr>
            </w:pPr>
            <w:bookmarkStart w:id="18" w:name="_Toc516682320"/>
            <w:bookmarkStart w:id="19" w:name="_Toc472352111"/>
            <w:bookmarkStart w:id="20" w:name="_Toc516419798"/>
            <w:bookmarkStart w:id="21" w:name="_Toc472350614"/>
            <w:bookmarkStart w:id="22" w:name="_Toc500947851"/>
            <w:bookmarkStart w:id="23" w:name="_Toc476045149"/>
            <w:bookmarkStart w:id="24" w:name="_Toc476047490"/>
            <w:bookmarkStart w:id="25" w:name="_Toc492565603"/>
            <w:bookmarkStart w:id="26" w:name="_Toc496205447"/>
            <w:bookmarkStart w:id="27" w:name="_Toc472351610"/>
            <w:r>
              <w:rPr>
                <w:rFonts w:hint="eastAsia" w:ascii="宋体" w:hAnsi="宋体" w:eastAsia="宋体" w:cs="宋体"/>
                <w:color w:val="auto"/>
                <w:sz w:val="21"/>
                <w:szCs w:val="21"/>
                <w:highlight w:val="none"/>
                <w:lang w:val="en-US"/>
              </w:rPr>
              <w:t xml:space="preserve">附件1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8"/>
                <w:szCs w:val="28"/>
                <w:highlight w:val="none"/>
                <w:lang w:val="en-US"/>
              </w:rPr>
              <w:t>总承包服务费及工作内容</w:t>
            </w:r>
            <w:bookmarkEnd w:id="18"/>
            <w:bookmarkEnd w:id="19"/>
            <w:bookmarkEnd w:id="20"/>
            <w:bookmarkEnd w:id="21"/>
            <w:bookmarkEnd w:id="22"/>
            <w:bookmarkEnd w:id="23"/>
            <w:bookmarkEnd w:id="24"/>
            <w:bookmarkEnd w:id="25"/>
            <w:bookmarkEnd w:id="26"/>
            <w:bookmarkEnd w:id="27"/>
          </w:p>
        </w:tc>
      </w:tr>
      <w:tr w14:paraId="6D76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tblHeader/>
        </w:trPr>
        <w:tc>
          <w:tcPr>
            <w:tcW w:w="217" w:type="pct"/>
            <w:shd w:val="clear" w:color="auto" w:fill="FFFFFF"/>
            <w:vAlign w:val="center"/>
          </w:tcPr>
          <w:p w14:paraId="32BADC5C">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序号</w:t>
            </w:r>
          </w:p>
        </w:tc>
        <w:tc>
          <w:tcPr>
            <w:tcW w:w="1010" w:type="pct"/>
            <w:shd w:val="clear" w:color="auto" w:fill="FFFFFF"/>
            <w:vAlign w:val="center"/>
          </w:tcPr>
          <w:p w14:paraId="33727C76">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指定</w:t>
            </w:r>
            <w:r>
              <w:rPr>
                <w:rFonts w:hint="eastAsia" w:ascii="宋体" w:hAnsi="宋体" w:eastAsia="宋体" w:cs="宋体"/>
                <w:color w:val="auto"/>
                <w:kern w:val="0"/>
                <w:sz w:val="20"/>
                <w:szCs w:val="20"/>
                <w:highlight w:val="none"/>
                <w:lang w:val="en-US" w:eastAsia="zh-CN"/>
              </w:rPr>
              <w:t>专业</w:t>
            </w:r>
            <w:r>
              <w:rPr>
                <w:rFonts w:hint="eastAsia" w:ascii="宋体" w:hAnsi="宋体" w:eastAsia="宋体" w:cs="宋体"/>
                <w:color w:val="auto"/>
                <w:kern w:val="0"/>
                <w:sz w:val="20"/>
                <w:szCs w:val="20"/>
                <w:highlight w:val="none"/>
              </w:rPr>
              <w:t>分包内容</w:t>
            </w:r>
          </w:p>
        </w:tc>
        <w:tc>
          <w:tcPr>
            <w:tcW w:w="1448" w:type="pct"/>
            <w:shd w:val="clear" w:color="auto" w:fill="FFFFFF"/>
            <w:vAlign w:val="center"/>
          </w:tcPr>
          <w:p w14:paraId="3BF2A954">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总承包管理配合及服务内容</w:t>
            </w:r>
          </w:p>
        </w:tc>
        <w:tc>
          <w:tcPr>
            <w:tcW w:w="1055" w:type="pct"/>
            <w:shd w:val="clear" w:color="auto" w:fill="FFFFFF"/>
            <w:vAlign w:val="center"/>
          </w:tcPr>
          <w:p w14:paraId="3E8B0A20">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总承包服务费</w:t>
            </w:r>
          </w:p>
        </w:tc>
        <w:tc>
          <w:tcPr>
            <w:tcW w:w="1266" w:type="pct"/>
            <w:shd w:val="clear" w:color="auto" w:fill="FFFFFF"/>
            <w:vAlign w:val="center"/>
          </w:tcPr>
          <w:p w14:paraId="6219E2A1">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现场水电费</w:t>
            </w:r>
          </w:p>
        </w:tc>
      </w:tr>
      <w:tr w14:paraId="3407D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10935" w:hRule="atLeast"/>
        </w:trPr>
        <w:tc>
          <w:tcPr>
            <w:tcW w:w="217" w:type="pct"/>
            <w:shd w:val="clear" w:color="auto" w:fill="FFFFFF"/>
            <w:vAlign w:val="center"/>
          </w:tcPr>
          <w:p w14:paraId="0DE077B0">
            <w:pPr>
              <w:widowControl/>
              <w:spacing w:line="24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p>
        </w:tc>
        <w:tc>
          <w:tcPr>
            <w:tcW w:w="1010" w:type="pct"/>
            <w:shd w:val="clear" w:color="auto" w:fill="FFFFFF"/>
            <w:vAlign w:val="center"/>
          </w:tcPr>
          <w:p w14:paraId="6E3DE257">
            <w:pPr>
              <w:widowControl/>
              <w:numPr>
                <w:ilvl w:val="0"/>
                <w:numId w:val="1"/>
              </w:numPr>
              <w:spacing w:line="360" w:lineRule="auto"/>
              <w:jc w:val="left"/>
              <w:rPr>
                <w:rFonts w:hint="eastAsia" w:ascii="宋体" w:hAnsi="宋体" w:eastAsia="宋体" w:cs="宋体"/>
                <w:color w:val="auto"/>
                <w:kern w:val="2"/>
                <w:sz w:val="21"/>
                <w:szCs w:val="24"/>
                <w:highlight w:val="none"/>
                <w:lang w:val="en-US" w:eastAsia="zh-CN"/>
              </w:rPr>
            </w:pPr>
            <w:r>
              <w:rPr>
                <w:rFonts w:hint="eastAsia" w:ascii="宋体" w:hAnsi="宋体" w:eastAsia="宋体" w:cs="宋体"/>
                <w:color w:val="auto"/>
                <w:kern w:val="2"/>
                <w:sz w:val="21"/>
                <w:szCs w:val="24"/>
                <w:highlight w:val="none"/>
                <w:lang w:val="en-US" w:eastAsia="zh-CN"/>
              </w:rPr>
              <w:t>外电工程（</w:t>
            </w:r>
            <w:r>
              <w:rPr>
                <w:rFonts w:hint="eastAsia" w:ascii="宋体" w:hAnsi="宋体" w:eastAsia="宋体" w:cs="宋体"/>
                <w:color w:val="auto"/>
                <w:kern w:val="2"/>
                <w:sz w:val="21"/>
                <w:szCs w:val="24"/>
                <w:highlight w:val="none"/>
              </w:rPr>
              <w:t>从供电批复的接电点到低压配电柜低压开关出线端止的设备及线路、电房内防雷接地、排气扇、照明、</w:t>
            </w:r>
            <w:r>
              <w:rPr>
                <w:rFonts w:hint="eastAsia" w:ascii="宋体" w:hAnsi="宋体" w:eastAsia="宋体" w:cs="宋体"/>
                <w:color w:val="auto"/>
                <w:kern w:val="2"/>
                <w:sz w:val="21"/>
                <w:szCs w:val="24"/>
                <w:highlight w:val="none"/>
                <w:lang w:val="en-US" w:eastAsia="zh-CN"/>
              </w:rPr>
              <w:t>灭火器、</w:t>
            </w:r>
            <w:r>
              <w:rPr>
                <w:rFonts w:hint="eastAsia" w:ascii="宋体" w:hAnsi="宋体" w:eastAsia="宋体" w:cs="宋体"/>
                <w:color w:val="auto"/>
                <w:kern w:val="2"/>
                <w:sz w:val="21"/>
                <w:szCs w:val="24"/>
                <w:highlight w:val="none"/>
              </w:rPr>
              <w:t>开关插座及电房内安健环</w:t>
            </w:r>
            <w:r>
              <w:rPr>
                <w:rFonts w:hint="eastAsia" w:ascii="宋体" w:hAnsi="宋体" w:eastAsia="宋体" w:cs="宋体"/>
                <w:color w:val="auto"/>
                <w:kern w:val="2"/>
                <w:sz w:val="21"/>
                <w:szCs w:val="24"/>
                <w:highlight w:val="none"/>
                <w:lang w:eastAsia="zh-CN"/>
              </w:rPr>
              <w:t>、</w:t>
            </w:r>
            <w:r>
              <w:rPr>
                <w:rFonts w:hint="eastAsia" w:ascii="宋体" w:hAnsi="宋体" w:eastAsia="宋体" w:cs="宋体"/>
                <w:color w:val="auto"/>
                <w:kern w:val="2"/>
                <w:sz w:val="21"/>
                <w:szCs w:val="24"/>
                <w:highlight w:val="none"/>
              </w:rPr>
              <w:t>电房内的地坪回填、设备基础、电缆沟、电房门窗、通风百叶</w:t>
            </w:r>
            <w:r>
              <w:rPr>
                <w:rFonts w:hint="eastAsia" w:ascii="宋体" w:hAnsi="宋体" w:eastAsia="宋体" w:cs="宋体"/>
                <w:color w:val="auto"/>
                <w:kern w:val="2"/>
                <w:sz w:val="21"/>
                <w:szCs w:val="24"/>
                <w:highlight w:val="none"/>
                <w:lang w:eastAsia="zh-CN"/>
              </w:rPr>
              <w:t>、</w:t>
            </w:r>
            <w:r>
              <w:rPr>
                <w:rFonts w:hint="eastAsia" w:ascii="宋体" w:hAnsi="宋体" w:eastAsia="宋体" w:cs="宋体"/>
                <w:color w:val="auto"/>
                <w:kern w:val="2"/>
                <w:sz w:val="21"/>
                <w:szCs w:val="24"/>
                <w:highlight w:val="none"/>
                <w:lang w:val="en-US" w:eastAsia="zh-CN"/>
              </w:rPr>
              <w:t>墙面、地面、天花</w:t>
            </w:r>
            <w:r>
              <w:rPr>
                <w:rFonts w:hint="eastAsia" w:ascii="宋体" w:hAnsi="宋体" w:eastAsia="宋体" w:cs="宋体"/>
                <w:color w:val="auto"/>
                <w:kern w:val="2"/>
                <w:sz w:val="21"/>
                <w:szCs w:val="24"/>
                <w:highlight w:val="none"/>
              </w:rPr>
              <w:t>等土建</w:t>
            </w:r>
            <w:r>
              <w:rPr>
                <w:rFonts w:hint="eastAsia" w:ascii="宋体" w:hAnsi="宋体" w:eastAsia="宋体" w:cs="宋体"/>
                <w:color w:val="auto"/>
                <w:kern w:val="2"/>
                <w:sz w:val="21"/>
                <w:szCs w:val="24"/>
                <w:highlight w:val="none"/>
                <w:lang w:val="en-US" w:eastAsia="zh-CN"/>
              </w:rPr>
              <w:t>装修</w:t>
            </w:r>
            <w:r>
              <w:rPr>
                <w:rFonts w:hint="eastAsia" w:ascii="宋体" w:hAnsi="宋体" w:eastAsia="宋体" w:cs="宋体"/>
                <w:color w:val="auto"/>
                <w:kern w:val="2"/>
                <w:sz w:val="21"/>
                <w:szCs w:val="24"/>
                <w:highlight w:val="none"/>
              </w:rPr>
              <w:t>内容等。</w:t>
            </w:r>
            <w:r>
              <w:rPr>
                <w:rFonts w:hint="eastAsia" w:ascii="宋体" w:hAnsi="宋体" w:eastAsia="宋体" w:cs="宋体"/>
                <w:color w:val="auto"/>
                <w:kern w:val="2"/>
                <w:sz w:val="21"/>
                <w:szCs w:val="24"/>
                <w:highlight w:val="none"/>
                <w:lang w:val="en-US" w:eastAsia="zh-CN"/>
              </w:rPr>
              <w:t>）</w:t>
            </w:r>
          </w:p>
          <w:p w14:paraId="26B9C3C7">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第三方检测、监测工程</w:t>
            </w:r>
          </w:p>
          <w:p w14:paraId="7B409440">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室内环境检测</w:t>
            </w:r>
          </w:p>
          <w:p w14:paraId="26EE72C9">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桩基检测</w:t>
            </w:r>
          </w:p>
          <w:p w14:paraId="0C28DBD8">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结构实体检测</w:t>
            </w:r>
          </w:p>
          <w:p w14:paraId="6139D4BC">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主体沉降观测</w:t>
            </w:r>
          </w:p>
          <w:p w14:paraId="1A429FA1">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基坑监测</w:t>
            </w:r>
          </w:p>
          <w:p w14:paraId="008BEF63">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高大支模监测</w:t>
            </w:r>
          </w:p>
          <w:p w14:paraId="727388AB">
            <w:pPr>
              <w:numPr>
                <w:ilvl w:val="0"/>
                <w:numId w:val="1"/>
              </w:numPr>
              <w:spacing w:line="360" w:lineRule="auto"/>
              <w:ind w:firstLine="0" w:firstLineChars="0"/>
              <w:rPr>
                <w:rFonts w:hint="eastAsia" w:ascii="宋体" w:hAnsi="宋体" w:cs="宋体"/>
                <w:color w:val="auto"/>
                <w:szCs w:val="24"/>
                <w:highlight w:val="none"/>
              </w:rPr>
            </w:pPr>
            <w:r>
              <w:rPr>
                <w:rFonts w:hint="eastAsia" w:ascii="宋体" w:hAnsi="宋体" w:cs="宋体"/>
                <w:color w:val="auto"/>
                <w:szCs w:val="24"/>
                <w:highlight w:val="none"/>
              </w:rPr>
              <w:t>回填土密实度检测</w:t>
            </w:r>
          </w:p>
          <w:p w14:paraId="5BCEA963">
            <w:pPr>
              <w:numPr>
                <w:ilvl w:val="0"/>
                <w:numId w:val="1"/>
              </w:numPr>
              <w:spacing w:line="360" w:lineRule="auto"/>
              <w:ind w:firstLine="0" w:firstLineChars="0"/>
              <w:rPr>
                <w:rFonts w:hint="eastAsia" w:ascii="宋体" w:hAnsi="宋体" w:cs="宋体"/>
                <w:color w:val="auto"/>
                <w:highlight w:val="none"/>
              </w:rPr>
            </w:pPr>
            <w:r>
              <w:rPr>
                <w:rFonts w:hint="eastAsia" w:ascii="宋体" w:hAnsi="宋体" w:cs="宋体"/>
                <w:color w:val="auto"/>
                <w:szCs w:val="24"/>
                <w:highlight w:val="none"/>
              </w:rPr>
              <w:t xml:space="preserve">水土保持技术咨询服务、方案编制及实施措施  </w:t>
            </w:r>
          </w:p>
          <w:p w14:paraId="042C9345">
            <w:pPr>
              <w:numPr>
                <w:ilvl w:val="0"/>
                <w:numId w:val="1"/>
              </w:numPr>
              <w:spacing w:line="360" w:lineRule="auto"/>
              <w:ind w:firstLine="0" w:firstLineChars="0"/>
              <w:rPr>
                <w:rFonts w:hint="eastAsia" w:ascii="宋体" w:hAnsi="宋体" w:cs="宋体"/>
                <w:color w:val="auto"/>
                <w:highlight w:val="none"/>
              </w:rPr>
            </w:pPr>
            <w:r>
              <w:rPr>
                <w:rFonts w:hint="eastAsia" w:ascii="宋体" w:hAnsi="宋体" w:cs="宋体"/>
                <w:b w:val="0"/>
                <w:bCs w:val="0"/>
                <w:color w:val="auto"/>
                <w:kern w:val="2"/>
                <w:sz w:val="21"/>
                <w:highlight w:val="none"/>
              </w:rPr>
              <w:t xml:space="preserve"> 白蚁防治</w:t>
            </w:r>
          </w:p>
          <w:p w14:paraId="3F4ECC10">
            <w:pPr>
              <w:widowControl/>
              <w:numPr>
                <w:ilvl w:val="-1"/>
                <w:numId w:val="0"/>
              </w:numPr>
              <w:spacing w:line="360" w:lineRule="auto"/>
              <w:jc w:val="left"/>
              <w:rPr>
                <w:rFonts w:hint="eastAsia" w:ascii="宋体" w:hAnsi="宋体" w:eastAsia="宋体" w:cs="宋体"/>
                <w:color w:val="auto"/>
                <w:kern w:val="2"/>
                <w:sz w:val="21"/>
                <w:szCs w:val="24"/>
                <w:highlight w:val="none"/>
                <w:lang w:val="en-US" w:eastAsia="zh-CN"/>
              </w:rPr>
            </w:pPr>
          </w:p>
        </w:tc>
        <w:tc>
          <w:tcPr>
            <w:tcW w:w="1448" w:type="pct"/>
            <w:shd w:val="clear" w:color="auto" w:fill="FFFFFF"/>
            <w:vAlign w:val="center"/>
          </w:tcPr>
          <w:p w14:paraId="6C2412B6">
            <w:pPr>
              <w:widowControl/>
              <w:spacing w:line="240" w:lineRule="exact"/>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1、现场组织管理及配合；</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2、图纸会审；</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3、</w:t>
            </w:r>
            <w:r>
              <w:rPr>
                <w:rFonts w:hint="eastAsia" w:ascii="宋体" w:hAnsi="宋体" w:eastAsia="宋体" w:cs="宋体"/>
                <w:color w:val="auto"/>
                <w:kern w:val="0"/>
                <w:sz w:val="20"/>
                <w:szCs w:val="20"/>
                <w:highlight w:val="none"/>
                <w:lang w:val="en-US" w:eastAsia="zh-CN"/>
              </w:rPr>
              <w:t>提供</w:t>
            </w:r>
            <w:r>
              <w:rPr>
                <w:rFonts w:hint="eastAsia" w:ascii="宋体" w:hAnsi="宋体" w:eastAsia="宋体" w:cs="宋体"/>
                <w:color w:val="auto"/>
                <w:kern w:val="0"/>
                <w:sz w:val="20"/>
                <w:szCs w:val="20"/>
                <w:highlight w:val="none"/>
              </w:rPr>
              <w:t>井架、塔吊</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人货梯</w:t>
            </w:r>
            <w:r>
              <w:rPr>
                <w:rFonts w:hint="eastAsia" w:ascii="宋体" w:hAnsi="宋体" w:eastAsia="宋体" w:cs="宋体"/>
                <w:color w:val="auto"/>
                <w:kern w:val="0"/>
                <w:sz w:val="20"/>
                <w:szCs w:val="20"/>
                <w:highlight w:val="none"/>
              </w:rPr>
              <w:t>等垂直运输工具；</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4、施工脚手架、排栅；</w:t>
            </w:r>
            <w:r>
              <w:rPr>
                <w:rFonts w:hint="eastAsia" w:ascii="宋体" w:hAnsi="宋体" w:eastAsia="宋体" w:cs="宋体"/>
                <w:color w:val="auto"/>
                <w:sz w:val="20"/>
                <w:szCs w:val="20"/>
                <w:highlight w:val="none"/>
              </w:rPr>
              <w:t>或配合各单位安装所需的脚手架拆改；</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5、施工场地；</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6、施工临时道路；</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7、</w:t>
            </w:r>
            <w:r>
              <w:rPr>
                <w:rFonts w:hint="eastAsia" w:ascii="宋体" w:hAnsi="宋体" w:eastAsia="宋体" w:cs="宋体"/>
                <w:color w:val="auto"/>
                <w:kern w:val="0"/>
                <w:sz w:val="20"/>
                <w:szCs w:val="20"/>
                <w:highlight w:val="none"/>
                <w:lang w:val="en-US" w:eastAsia="zh-CN"/>
              </w:rPr>
              <w:t>提供</w:t>
            </w:r>
            <w:r>
              <w:rPr>
                <w:rFonts w:hint="eastAsia" w:ascii="宋体" w:hAnsi="宋体" w:eastAsia="宋体" w:cs="宋体"/>
                <w:color w:val="auto"/>
                <w:kern w:val="0"/>
                <w:sz w:val="20"/>
                <w:szCs w:val="20"/>
                <w:highlight w:val="none"/>
              </w:rPr>
              <w:t>施工用水、用电接驳口：</w:t>
            </w:r>
            <w:r>
              <w:rPr>
                <w:rFonts w:hint="eastAsia" w:ascii="宋体" w:hAnsi="宋体" w:eastAsia="宋体" w:cs="宋体"/>
                <w:color w:val="auto"/>
                <w:sz w:val="20"/>
                <w:szCs w:val="20"/>
                <w:highlight w:val="none"/>
              </w:rPr>
              <w:t>每层用水、用电接驳口不少于一个，地下室及裙楼每个防火分区不少于一个；多层(6层及以上)：一层一个接驳口；</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8、负责为分包人施工预留孔洞、分包人施工完成后的孔洞(含结构和墙体)和沟槽（电线管和给水管除外）的填补、</w:t>
            </w:r>
            <w:r>
              <w:rPr>
                <w:rFonts w:hint="eastAsia" w:ascii="宋体" w:hAnsi="宋体" w:cs="宋体"/>
                <w:color w:val="auto"/>
                <w:kern w:val="0"/>
                <w:sz w:val="20"/>
                <w:szCs w:val="20"/>
                <w:highlight w:val="none"/>
                <w:lang w:val="en-US" w:eastAsia="zh-CN"/>
              </w:rPr>
              <w:t>塞</w:t>
            </w:r>
            <w:r>
              <w:rPr>
                <w:rFonts w:hint="eastAsia" w:ascii="宋体" w:hAnsi="宋体" w:eastAsia="宋体" w:cs="宋体"/>
                <w:color w:val="auto"/>
                <w:kern w:val="0"/>
                <w:sz w:val="20"/>
                <w:szCs w:val="20"/>
                <w:highlight w:val="none"/>
              </w:rPr>
              <w:t>缝、防火封堵、挂网、补灰、收口（含电梯出入口收口及材料）</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扶梯上下口钢板封堵及收口</w:t>
            </w:r>
            <w:r>
              <w:rPr>
                <w:rFonts w:hint="eastAsia" w:ascii="宋体" w:hAnsi="宋体" w:eastAsia="宋体" w:cs="宋体"/>
                <w:color w:val="auto"/>
                <w:kern w:val="0"/>
                <w:sz w:val="20"/>
                <w:szCs w:val="20"/>
                <w:highlight w:val="none"/>
              </w:rPr>
              <w:t>工作等，由此发生的费用已含在</w:t>
            </w:r>
            <w:r>
              <w:rPr>
                <w:rFonts w:hint="eastAsia" w:ascii="宋体" w:hAnsi="宋体" w:eastAsia="宋体" w:cs="宋体"/>
                <w:color w:val="auto"/>
                <w:kern w:val="0"/>
                <w:sz w:val="20"/>
                <w:szCs w:val="20"/>
                <w:highlight w:val="none"/>
                <w:lang w:val="en-US" w:eastAsia="zh-CN"/>
              </w:rPr>
              <w:t>总包服务费中</w:t>
            </w:r>
            <w:r>
              <w:rPr>
                <w:rFonts w:hint="eastAsia" w:ascii="宋体" w:hAnsi="宋体" w:eastAsia="宋体" w:cs="宋体"/>
                <w:color w:val="auto"/>
                <w:kern w:val="0"/>
                <w:sz w:val="20"/>
                <w:szCs w:val="20"/>
                <w:highlight w:val="none"/>
              </w:rPr>
              <w:t>，二次修补的费用由责任方承担；</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9、场地清理：总承包人负责指定在场内的垃圾集中堆放位置和及时将垃圾清运处理，保持现场文明施工；</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10、安全设施；</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11、轴线与标高；</w:t>
            </w:r>
          </w:p>
          <w:p w14:paraId="3BE43BDA">
            <w:pPr>
              <w:autoSpaceDE w:val="0"/>
              <w:autoSpaceDN w:val="0"/>
              <w:adjustRightInd w:val="0"/>
              <w:spacing w:line="240" w:lineRule="exact"/>
              <w:jc w:val="left"/>
              <w:rPr>
                <w:rFonts w:hint="eastAsia" w:ascii="宋体" w:hAnsi="宋体" w:eastAsia="宋体" w:cs="宋体"/>
                <w:color w:val="auto"/>
                <w:kern w:val="0"/>
                <w:sz w:val="20"/>
                <w:szCs w:val="20"/>
                <w:highlight w:val="none"/>
                <w:lang w:val="zh-CN"/>
              </w:rPr>
            </w:pPr>
            <w:r>
              <w:rPr>
                <w:rFonts w:hint="eastAsia" w:ascii="宋体" w:hAnsi="宋体" w:eastAsia="宋体" w:cs="宋体"/>
                <w:color w:val="auto"/>
                <w:kern w:val="0"/>
                <w:sz w:val="20"/>
                <w:szCs w:val="20"/>
                <w:highlight w:val="none"/>
              </w:rPr>
              <w:t>12</w:t>
            </w:r>
            <w:r>
              <w:rPr>
                <w:rFonts w:hint="eastAsia" w:ascii="宋体" w:hAnsi="宋体" w:eastAsia="宋体" w:cs="宋体"/>
                <w:color w:val="auto"/>
                <w:kern w:val="0"/>
                <w:sz w:val="20"/>
                <w:szCs w:val="20"/>
                <w:highlight w:val="none"/>
                <w:lang w:val="zh-CN"/>
              </w:rPr>
              <w:t>、合格的基础、轴线与标高；</w:t>
            </w:r>
          </w:p>
          <w:p w14:paraId="4AADA02A">
            <w:pPr>
              <w:autoSpaceDE w:val="0"/>
              <w:autoSpaceDN w:val="0"/>
              <w:adjustRightInd w:val="0"/>
              <w:spacing w:line="240" w:lineRule="exact"/>
              <w:jc w:val="left"/>
              <w:rPr>
                <w:rFonts w:hint="eastAsia" w:ascii="宋体" w:hAnsi="宋体" w:eastAsia="宋体" w:cs="宋体"/>
                <w:color w:val="auto"/>
                <w:kern w:val="0"/>
                <w:sz w:val="20"/>
                <w:szCs w:val="20"/>
                <w:highlight w:val="none"/>
                <w:lang w:val="zh-CN"/>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、电梯提前验收，电梯验收合格后移交物业前，总承包</w:t>
            </w:r>
            <w:r>
              <w:rPr>
                <w:rFonts w:hint="eastAsia" w:ascii="宋体" w:hAnsi="宋体" w:eastAsia="宋体" w:cs="宋体"/>
                <w:color w:val="auto"/>
                <w:kern w:val="0"/>
                <w:sz w:val="20"/>
                <w:szCs w:val="20"/>
                <w:highlight w:val="none"/>
              </w:rPr>
              <w:t>人</w:t>
            </w:r>
            <w:r>
              <w:rPr>
                <w:rFonts w:hint="eastAsia" w:ascii="宋体" w:hAnsi="宋体" w:eastAsia="宋体" w:cs="宋体"/>
                <w:color w:val="auto"/>
                <w:sz w:val="20"/>
                <w:szCs w:val="20"/>
                <w:highlight w:val="none"/>
              </w:rPr>
              <w:t>需做好电梯轿厢地面、墙面细木工板保护，安排专人看管、维护，其费用已包含在</w:t>
            </w:r>
            <w:r>
              <w:rPr>
                <w:rFonts w:hint="eastAsia" w:ascii="宋体" w:hAnsi="宋体" w:eastAsia="宋体" w:cs="宋体"/>
                <w:color w:val="auto"/>
                <w:sz w:val="20"/>
                <w:szCs w:val="20"/>
                <w:highlight w:val="none"/>
                <w:lang w:val="en-US" w:eastAsia="zh-CN"/>
              </w:rPr>
              <w:t>总包服务费中</w:t>
            </w:r>
            <w:r>
              <w:rPr>
                <w:rFonts w:hint="eastAsia" w:ascii="宋体" w:hAnsi="宋体" w:eastAsia="宋体" w:cs="宋体"/>
                <w:color w:val="auto"/>
                <w:sz w:val="20"/>
                <w:szCs w:val="20"/>
                <w:highlight w:val="none"/>
              </w:rPr>
              <w:t>，不另计取。</w:t>
            </w:r>
          </w:p>
          <w:p w14:paraId="65D87D54">
            <w:pPr>
              <w:widowControl/>
              <w:spacing w:line="240" w:lineRule="exact"/>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w:t>
            </w:r>
            <w:r>
              <w:rPr>
                <w:rFonts w:hint="eastAsia" w:ascii="宋体" w:hAnsi="宋体" w:eastAsia="宋体" w:cs="宋体"/>
                <w:color w:val="auto"/>
                <w:kern w:val="0"/>
                <w:sz w:val="20"/>
                <w:szCs w:val="20"/>
                <w:highlight w:val="none"/>
                <w:lang w:val="en-US" w:eastAsia="zh-CN"/>
              </w:rPr>
              <w:t>4</w:t>
            </w:r>
            <w:r>
              <w:rPr>
                <w:rFonts w:hint="eastAsia" w:ascii="宋体" w:hAnsi="宋体" w:eastAsia="宋体" w:cs="宋体"/>
                <w:color w:val="auto"/>
                <w:kern w:val="0"/>
                <w:sz w:val="20"/>
                <w:szCs w:val="20"/>
                <w:highlight w:val="none"/>
              </w:rPr>
              <w:t>、负责对分包人相关资料进行归档备案管理(含需要总承包人配合进行资料盖章等)。</w:t>
            </w:r>
            <w:r>
              <w:rPr>
                <w:rFonts w:hint="eastAsia" w:ascii="宋体" w:hAnsi="宋体" w:eastAsia="宋体" w:cs="宋体"/>
                <w:color w:val="auto"/>
                <w:kern w:val="0"/>
                <w:sz w:val="20"/>
                <w:szCs w:val="20"/>
                <w:highlight w:val="none"/>
              </w:rPr>
              <w:br w:type="textWrapping"/>
            </w:r>
            <w:r>
              <w:rPr>
                <w:rFonts w:hint="eastAsia" w:ascii="宋体" w:hAnsi="宋体" w:eastAsia="宋体" w:cs="宋体"/>
                <w:color w:val="auto"/>
                <w:kern w:val="0"/>
                <w:sz w:val="20"/>
                <w:szCs w:val="20"/>
                <w:highlight w:val="none"/>
              </w:rPr>
              <w:t>(具体内容详见本合同《总承包服务费及工作内容》及附件</w:t>
            </w:r>
          </w:p>
        </w:tc>
        <w:tc>
          <w:tcPr>
            <w:tcW w:w="1055" w:type="pct"/>
            <w:shd w:val="clear" w:color="auto" w:fill="FFFFFF"/>
            <w:vAlign w:val="center"/>
          </w:tcPr>
          <w:p w14:paraId="25E2E254">
            <w:pPr>
              <w:widowControl/>
              <w:spacing w:line="240" w:lineRule="exact"/>
              <w:jc w:val="left"/>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lang w:val="en-US" w:eastAsia="zh-CN"/>
              </w:rPr>
              <w:t>按专业工程合同造价的结算价1.5%计算。</w:t>
            </w:r>
          </w:p>
          <w:p w14:paraId="5BF1E654">
            <w:pPr>
              <w:widowControl/>
              <w:spacing w:line="240" w:lineRule="exact"/>
              <w:jc w:val="left"/>
              <w:rPr>
                <w:rFonts w:hint="eastAsia" w:ascii="宋体" w:hAnsi="宋体" w:eastAsia="宋体" w:cs="宋体"/>
                <w:color w:val="auto"/>
                <w:kern w:val="0"/>
                <w:sz w:val="20"/>
                <w:szCs w:val="20"/>
                <w:highlight w:val="none"/>
              </w:rPr>
            </w:pPr>
          </w:p>
        </w:tc>
        <w:tc>
          <w:tcPr>
            <w:tcW w:w="1266" w:type="pct"/>
            <w:shd w:val="clear" w:color="auto" w:fill="FFFFFF"/>
            <w:vAlign w:val="center"/>
          </w:tcPr>
          <w:p w14:paraId="37CF5FE5">
            <w:pPr>
              <w:widowControl/>
              <w:spacing w:line="240" w:lineRule="exact"/>
              <w:ind w:left="-107" w:leftChars="-51"/>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按《总分包单位水电费及安全文明施工押金收费标准》收取。</w:t>
            </w:r>
          </w:p>
        </w:tc>
      </w:tr>
    </w:tbl>
    <w:p w14:paraId="06F49EA4">
      <w:pPr>
        <w:spacing w:line="360" w:lineRule="auto"/>
        <w:ind w:left="-111" w:leftChars="-53" w:right="-99" w:rightChars="-47" w:firstLine="630" w:firstLineChars="300"/>
        <w:rPr>
          <w:rFonts w:hint="eastAsia" w:ascii="宋体" w:hAnsi="宋体"/>
          <w:bCs/>
          <w:color w:val="auto"/>
          <w:sz w:val="21"/>
          <w:szCs w:val="21"/>
          <w:highlight w:val="none"/>
        </w:rPr>
      </w:pPr>
      <w:r>
        <w:rPr>
          <w:rFonts w:hint="eastAsia" w:ascii="宋体" w:hAnsi="宋体"/>
          <w:bCs/>
          <w:color w:val="auto"/>
          <w:sz w:val="21"/>
          <w:szCs w:val="21"/>
          <w:highlight w:val="none"/>
        </w:rPr>
        <w:t>备注：</w:t>
      </w:r>
    </w:p>
    <w:p w14:paraId="7AC8D513">
      <w:pPr>
        <w:spacing w:line="360" w:lineRule="auto"/>
        <w:ind w:left="-111" w:leftChars="-53" w:right="-99" w:rightChars="-47" w:firstLine="630" w:firstLineChars="300"/>
        <w:rPr>
          <w:rFonts w:hint="eastAsia" w:ascii="宋体" w:hAnsi="宋体"/>
          <w:color w:val="auto"/>
          <w:sz w:val="21"/>
          <w:szCs w:val="21"/>
          <w:highlight w:val="none"/>
        </w:rPr>
      </w:pPr>
      <w:r>
        <w:rPr>
          <w:rFonts w:hint="eastAsia" w:ascii="宋体" w:hAnsi="宋体"/>
          <w:color w:val="auto"/>
          <w:sz w:val="21"/>
          <w:szCs w:val="21"/>
          <w:highlight w:val="none"/>
        </w:rPr>
        <w:t>1、如</w:t>
      </w:r>
      <w:r>
        <w:rPr>
          <w:rFonts w:hint="eastAsia" w:ascii="宋体" w:hAnsi="宋体"/>
          <w:color w:val="auto"/>
          <w:sz w:val="21"/>
          <w:szCs w:val="21"/>
          <w:highlight w:val="none"/>
          <w:lang w:val="en-US" w:eastAsia="zh-CN"/>
        </w:rPr>
        <w:t>总</w:t>
      </w:r>
      <w:r>
        <w:rPr>
          <w:rFonts w:hint="eastAsia" w:ascii="宋体" w:hAnsi="宋体"/>
          <w:color w:val="auto"/>
          <w:sz w:val="21"/>
          <w:szCs w:val="21"/>
          <w:highlight w:val="none"/>
        </w:rPr>
        <w:t>承包人同时获得本项目一项或多项指定分包工程的承包权的，本合同将不再计取该部分的指定专业分包工程的</w:t>
      </w:r>
      <w:r>
        <w:rPr>
          <w:rFonts w:hint="eastAsia" w:ascii="宋体" w:hAnsi="宋体"/>
          <w:color w:val="auto"/>
          <w:sz w:val="21"/>
          <w:szCs w:val="21"/>
          <w:highlight w:val="none"/>
          <w:lang w:val="en-US" w:eastAsia="zh-CN"/>
        </w:rPr>
        <w:t>总包</w:t>
      </w:r>
      <w:r>
        <w:rPr>
          <w:rFonts w:hint="eastAsia" w:ascii="宋体" w:hAnsi="宋体"/>
          <w:color w:val="auto"/>
          <w:sz w:val="21"/>
          <w:szCs w:val="21"/>
          <w:highlight w:val="none"/>
        </w:rPr>
        <w:t>服务费。</w:t>
      </w:r>
    </w:p>
    <w:p w14:paraId="2E56F8F3">
      <w:pPr>
        <w:spacing w:line="360" w:lineRule="auto"/>
        <w:ind w:left="-111" w:leftChars="-53" w:right="-99" w:rightChars="-47" w:firstLine="630" w:firstLineChars="30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、如总承包人已撤场，在撤场后施工的专业分包工程则总承包不计取总承包管理配合服务费。</w:t>
      </w:r>
    </w:p>
    <w:p w14:paraId="5BC22D9B">
      <w:pPr>
        <w:pStyle w:val="6"/>
        <w:rPr>
          <w:rFonts w:hint="eastAsia" w:ascii="宋体" w:hAnsi="宋体"/>
          <w:color w:val="auto"/>
          <w:highlight w:val="none"/>
        </w:rPr>
      </w:pPr>
      <w:bookmarkStart w:id="28" w:name="_Toc469996215"/>
      <w:bookmarkStart w:id="29" w:name="_Toc500947852"/>
      <w:bookmarkStart w:id="30" w:name="_Toc516682321"/>
      <w:bookmarkStart w:id="31" w:name="_Toc469996951"/>
      <w:bookmarkStart w:id="32" w:name="_Toc496205448"/>
      <w:bookmarkStart w:id="33" w:name="_Toc469999336"/>
      <w:bookmarkStart w:id="34" w:name="_Toc516419799"/>
      <w:bookmarkStart w:id="35" w:name="_Toc492565604"/>
    </w:p>
    <w:p w14:paraId="47E5D5EE">
      <w:pPr>
        <w:pStyle w:val="6"/>
        <w:rPr>
          <w:rFonts w:hint="eastAsia" w:ascii="宋体" w:hAnsi="宋体"/>
          <w:color w:val="auto"/>
          <w:highlight w:val="none"/>
        </w:rPr>
      </w:pPr>
    </w:p>
    <w:p w14:paraId="7D62AA0D">
      <w:pPr>
        <w:pStyle w:val="6"/>
        <w:rPr>
          <w:rFonts w:hint="eastAsia" w:ascii="宋体" w:hAnsi="宋体"/>
          <w:color w:val="auto"/>
          <w:highlight w:val="none"/>
        </w:rPr>
      </w:pPr>
    </w:p>
    <w:p w14:paraId="0136330E">
      <w:pPr>
        <w:pStyle w:val="6"/>
        <w:rPr>
          <w:rFonts w:hint="eastAsia" w:ascii="宋体" w:hAnsi="宋体"/>
          <w:color w:val="auto"/>
          <w:highlight w:val="none"/>
        </w:rPr>
      </w:pPr>
    </w:p>
    <w:p w14:paraId="74A1D445">
      <w:pPr>
        <w:pStyle w:val="5"/>
        <w:rPr>
          <w:rFonts w:hint="eastAsia" w:ascii="宋体" w:hAnsi="宋体"/>
          <w:color w:val="auto"/>
          <w:highlight w:val="none"/>
        </w:rPr>
      </w:pPr>
      <w:r>
        <w:rPr>
          <w:rFonts w:hint="eastAsia" w:ascii="宋体" w:hAnsi="宋体"/>
          <w:color w:val="auto"/>
          <w:highlight w:val="none"/>
        </w:rPr>
        <w:t xml:space="preserve">附件2               </w:t>
      </w:r>
    </w:p>
    <w:p w14:paraId="6054F1C3">
      <w:pPr>
        <w:pStyle w:val="5"/>
        <w:jc w:val="center"/>
        <w:rPr>
          <w:rFonts w:ascii="宋体" w:hAnsi="宋体"/>
          <w:color w:val="auto"/>
          <w:highlight w:val="none"/>
        </w:rPr>
      </w:pPr>
      <w:r>
        <w:rPr>
          <w:rFonts w:hint="eastAsia" w:ascii="宋体" w:hAnsi="宋体"/>
          <w:color w:val="auto"/>
          <w:highlight w:val="none"/>
        </w:rPr>
        <w:t>总承包管理配合服务工作内容</w:t>
      </w:r>
      <w:bookmarkEnd w:id="28"/>
      <w:bookmarkEnd w:id="29"/>
      <w:bookmarkEnd w:id="30"/>
      <w:bookmarkEnd w:id="31"/>
      <w:bookmarkEnd w:id="32"/>
      <w:bookmarkEnd w:id="33"/>
      <w:bookmarkEnd w:id="34"/>
      <w:bookmarkEnd w:id="35"/>
    </w:p>
    <w:p w14:paraId="2FDB5C7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一、总承包单位一般义务</w:t>
      </w:r>
    </w:p>
    <w:p w14:paraId="5138CE39">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1、现场组织管理及配合：</w:t>
      </w:r>
    </w:p>
    <w:p w14:paraId="0DFEEECF">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总承包单位负责整个</w:t>
      </w:r>
      <w:r>
        <w:rPr>
          <w:rFonts w:hint="eastAsia" w:ascii="宋体" w:hAnsi="宋体"/>
          <w:color w:val="auto"/>
          <w:sz w:val="24"/>
          <w:highlight w:val="none"/>
          <w:lang w:val="en-US" w:eastAsia="zh-CN"/>
        </w:rPr>
        <w:t>项目红线</w:t>
      </w:r>
      <w:r>
        <w:rPr>
          <w:rFonts w:hint="eastAsia" w:ascii="宋体" w:hAnsi="宋体"/>
          <w:color w:val="auto"/>
          <w:sz w:val="24"/>
          <w:highlight w:val="none"/>
        </w:rPr>
        <w:t>范围内全部工程的现场组织管理及配合。包括对建筑、安装及装饰装修施工和对发包人指定分包工程项目进行组织管理及配合。除了自身的施工范围之外，总承包单位还必须投入专业人员、设施，设置专门机构为随后进场的各专业分包单位提供各项相应组织管理及协调、配合工作，总承包单位应投入专门的人力、物力组织、协调发包人指定分包工程的分包单位在施工过程中的施工及配合，督促相关专业深化设计及土建配合预埋预留的施工图的及时完成，不能因此而影响总体进度计划的完成，也不能因总承包管理不力，各专业施工时间、空间上的混乱和工序的不能衔接而造成重大损失。土建配合预埋预留施工图经设计人、监理人审核后，报发包人批准后施工。</w:t>
      </w:r>
    </w:p>
    <w:p w14:paraId="61F41F86">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2、图纸会审：</w:t>
      </w:r>
    </w:p>
    <w:p w14:paraId="2F311B48">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总承包单位协助发包人组织</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进行图纸综合会审，协调解决因图纸问题导致</w:t>
      </w:r>
      <w:r>
        <w:rPr>
          <w:rFonts w:hint="eastAsia" w:ascii="宋体" w:hAnsi="宋体"/>
          <w:color w:val="auto"/>
          <w:sz w:val="24"/>
          <w:highlight w:val="none"/>
          <w:lang w:val="en-US" w:eastAsia="zh-CN"/>
        </w:rPr>
        <w:t>专业分包单位</w:t>
      </w:r>
      <w:r>
        <w:rPr>
          <w:rFonts w:hint="eastAsia" w:ascii="宋体" w:hAnsi="宋体"/>
          <w:color w:val="auto"/>
          <w:sz w:val="24"/>
          <w:highlight w:val="none"/>
        </w:rPr>
        <w:t>内部及其不同单位间产生的问题和存在的困难，</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派技术人员参与讨论，由总承包单位统一汇总成稿，分发给</w:t>
      </w:r>
      <w:r>
        <w:rPr>
          <w:rFonts w:hint="eastAsia" w:ascii="宋体" w:hAnsi="宋体"/>
          <w:color w:val="auto"/>
          <w:sz w:val="24"/>
          <w:highlight w:val="none"/>
          <w:lang w:val="en-US" w:eastAsia="zh-CN"/>
        </w:rPr>
        <w:t>专业分包单位</w:t>
      </w:r>
      <w:r>
        <w:rPr>
          <w:rFonts w:hint="eastAsia" w:ascii="宋体" w:hAnsi="宋体"/>
          <w:color w:val="auto"/>
          <w:sz w:val="24"/>
          <w:highlight w:val="none"/>
        </w:rPr>
        <w:t>。</w:t>
      </w:r>
    </w:p>
    <w:p w14:paraId="582EBFA3">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3、井架、塔吊等垂直运输工具：</w:t>
      </w:r>
    </w:p>
    <w:p w14:paraId="03FC67F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总承包单位应向</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提供井架、塔吊等垂直运输装置和机械，包括机驾人员的操作，但进出垂直运输工具的装卸货工作由</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负责。</w:t>
      </w:r>
    </w:p>
    <w:p w14:paraId="4271F1EC">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4、施工脚手架、排栅：</w:t>
      </w:r>
    </w:p>
    <w:p w14:paraId="24BC9440">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在施工脚手架尚未拆除前，总承包单位应向</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无条件提供现有的施工脚手架、排栅和现成的爬梯等设施使用。总承包人必须配合工程总体进度计划要求提前提出使用计划。</w:t>
      </w:r>
      <w:r>
        <w:rPr>
          <w:rFonts w:hint="eastAsia" w:ascii="宋体" w:hAnsi="宋体"/>
          <w:color w:val="auto"/>
          <w:sz w:val="24"/>
          <w:highlight w:val="none"/>
          <w:lang w:val="en-US" w:eastAsia="zh-CN"/>
        </w:rPr>
        <w:t>专业分包单位</w:t>
      </w:r>
      <w:r>
        <w:rPr>
          <w:rFonts w:hint="eastAsia" w:ascii="宋体" w:hAnsi="宋体"/>
          <w:color w:val="auto"/>
          <w:sz w:val="24"/>
          <w:highlight w:val="none"/>
        </w:rPr>
        <w:t>因自身原因未能按工程整体进度计划要求在总承包单位拆除脚手架、排栅前进行相应工程施工，需要总承包单位推迟拆除日期或另行搭设脚手架、排栅的，总承包单位有权向</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收取相应的费用。</w:t>
      </w:r>
    </w:p>
    <w:p w14:paraId="2B80899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5、施工场地：</w:t>
      </w:r>
    </w:p>
    <w:p w14:paraId="56C44568">
      <w:pPr>
        <w:spacing w:line="336"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专业分包单位</w:t>
      </w:r>
      <w:r>
        <w:rPr>
          <w:rFonts w:hint="eastAsia" w:ascii="宋体" w:hAnsi="宋体"/>
          <w:color w:val="auto"/>
          <w:sz w:val="24"/>
          <w:highlight w:val="none"/>
        </w:rPr>
        <w:t>进场施工前，应向总承包单位提出其施工及材料、设备堆放所需场地面积、部位等要求，以便于总承包单位合理安排施工场地。对于临建设施，总承包单位按</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提出统一规格标准搭设的要求，并对现场场容场貌进行管理，</w:t>
      </w:r>
      <w:r>
        <w:rPr>
          <w:rFonts w:hint="eastAsia" w:ascii="宋体" w:hAnsi="宋体"/>
          <w:color w:val="auto"/>
          <w:sz w:val="24"/>
          <w:highlight w:val="none"/>
          <w:lang w:val="en-US" w:eastAsia="zh-CN"/>
        </w:rPr>
        <w:t>专业分包单位</w:t>
      </w:r>
      <w:r>
        <w:rPr>
          <w:rFonts w:hint="eastAsia" w:ascii="宋体" w:hAnsi="宋体"/>
          <w:color w:val="auto"/>
          <w:sz w:val="24"/>
          <w:highlight w:val="none"/>
        </w:rPr>
        <w:t>不得私自乱搭乱建。</w:t>
      </w:r>
    </w:p>
    <w:p w14:paraId="7350F11A">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6、施工临时道路：</w:t>
      </w:r>
    </w:p>
    <w:p w14:paraId="18CC2AD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总承包单位应协调</w:t>
      </w:r>
      <w:r>
        <w:rPr>
          <w:rFonts w:hint="eastAsia" w:ascii="宋体" w:hAnsi="宋体"/>
          <w:color w:val="auto"/>
          <w:sz w:val="24"/>
          <w:highlight w:val="none"/>
          <w:lang w:val="en-US" w:eastAsia="zh-CN"/>
        </w:rPr>
        <w:t>专业分包单位</w:t>
      </w:r>
      <w:r>
        <w:rPr>
          <w:rFonts w:hint="eastAsia" w:ascii="宋体" w:hAnsi="宋体"/>
          <w:color w:val="auto"/>
          <w:sz w:val="24"/>
          <w:highlight w:val="none"/>
        </w:rPr>
        <w:t>的施工顺序、设备、材料进场时间、车辆流量控制，现场施工临时道路布置由总承包单位统一规划，必须符合建设工程所在地相关主管部门的规定，主干道及排水沟统一铺设、统一维护，确保施工道路畅通排水无阻。总承包单位负责施工临时道路的修筑和使用期间的维修和保养。</w:t>
      </w:r>
    </w:p>
    <w:p w14:paraId="7644BC2A">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7、施工用水、用电接驳口：</w:t>
      </w:r>
    </w:p>
    <w:p w14:paraId="1C61E05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（1）施工用水、用电接驳口：</w:t>
      </w:r>
    </w:p>
    <w:p w14:paraId="075AC2BE">
      <w:pPr>
        <w:spacing w:line="336" w:lineRule="auto"/>
        <w:ind w:firstLine="540" w:firstLineChars="225"/>
        <w:rPr>
          <w:rFonts w:ascii="宋体" w:hAnsi="宋体"/>
          <w:color w:val="auto"/>
          <w:sz w:val="24"/>
          <w:highlight w:val="none"/>
        </w:rPr>
      </w:pPr>
      <w:r>
        <w:rPr>
          <w:rFonts w:hint="eastAsia" w:ascii="宋体" w:hAnsi="宋体"/>
          <w:color w:val="auto"/>
          <w:sz w:val="24"/>
          <w:highlight w:val="none"/>
        </w:rPr>
        <w:t>每层用水、用电接驳口不少于一个，地下室及裙楼每个防火分区不少于一个。</w:t>
      </w:r>
    </w:p>
    <w:p w14:paraId="001A9B41">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总承包单位按以上接驳口设置供水龙头及安设分电箱，以确保</w:t>
      </w:r>
      <w:r>
        <w:rPr>
          <w:rFonts w:hint="eastAsia" w:ascii="宋体" w:hAnsi="宋体"/>
          <w:color w:val="auto"/>
          <w:sz w:val="24"/>
          <w:highlight w:val="none"/>
          <w:lang w:val="en-US" w:eastAsia="zh-CN"/>
        </w:rPr>
        <w:t>专业分包单位</w:t>
      </w:r>
      <w:r>
        <w:rPr>
          <w:rFonts w:hint="eastAsia" w:ascii="宋体" w:hAnsi="宋体"/>
          <w:color w:val="auto"/>
          <w:sz w:val="24"/>
          <w:highlight w:val="none"/>
        </w:rPr>
        <w:t>用水、用电方便，并确保满足施工需求的用水、用电。负责地下室、通道、楼梯等公共通道的临时照明和维护。</w:t>
      </w:r>
    </w:p>
    <w:p w14:paraId="45C552E1">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（2）总承包单位必要时有义务为</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提供高压水泵，同时派专人管理。</w:t>
      </w:r>
    </w:p>
    <w:p w14:paraId="57497C69">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 xml:space="preserve">（3）总承包管理配合服务费、现场水电费按合同约定执行。 </w:t>
      </w:r>
    </w:p>
    <w:p w14:paraId="274C6931">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（4）为了防备电网供电故障或电力供应不足，</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自行准备发电机以作临时供电用。</w:t>
      </w:r>
    </w:p>
    <w:p w14:paraId="6E83ECF7">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8、场地清理：</w:t>
      </w:r>
    </w:p>
    <w:p w14:paraId="7F0F662C">
      <w:pPr>
        <w:spacing w:line="336"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专业分包单位</w:t>
      </w:r>
      <w:r>
        <w:rPr>
          <w:rFonts w:hint="eastAsia" w:ascii="宋体" w:hAnsi="宋体"/>
          <w:color w:val="auto"/>
          <w:sz w:val="24"/>
          <w:highlight w:val="none"/>
        </w:rPr>
        <w:t>应做好各自的剩余建筑材料、建筑垃圾的清理工作，建筑垃圾必须及时清运至总承包单位的标段内指定集中地点，由总承包单位统一外运。由于</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未能及时按要求清运，影响总承包或其他分包单位施工及现场安全文明生产，总承包单位在征得发包人同意后负责组织进行清理外运，并向该</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收取相应费用。</w:t>
      </w:r>
    </w:p>
    <w:p w14:paraId="52E2076E">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在竣工退场前，</w:t>
      </w:r>
      <w:r>
        <w:rPr>
          <w:rFonts w:hint="eastAsia" w:ascii="宋体" w:hAnsi="宋体"/>
          <w:color w:val="auto"/>
          <w:sz w:val="24"/>
          <w:highlight w:val="none"/>
          <w:lang w:val="en-US" w:eastAsia="zh-CN"/>
        </w:rPr>
        <w:t>专业分包单位</w:t>
      </w:r>
      <w:r>
        <w:rPr>
          <w:rFonts w:hint="eastAsia" w:ascii="宋体" w:hAnsi="宋体"/>
          <w:color w:val="auto"/>
          <w:sz w:val="24"/>
          <w:highlight w:val="none"/>
        </w:rPr>
        <w:t>的建筑材料和搭设的临时建筑应自行清场清运。</w:t>
      </w:r>
    </w:p>
    <w:p w14:paraId="54B964B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9、安全设施：</w:t>
      </w:r>
    </w:p>
    <w:p w14:paraId="323BFBFD">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①总承包单位应在施工临时道路入口处设置安全警示牌、限速等标志，保证场内畅通、安全；在靠施工场地的主要施工地段设置安全警示栏和标志；在“四口五临边”设置安全围板和警示标志。</w:t>
      </w:r>
      <w:r>
        <w:rPr>
          <w:rFonts w:hint="eastAsia" w:ascii="宋体" w:hAnsi="宋体"/>
          <w:color w:val="auto"/>
          <w:sz w:val="24"/>
          <w:highlight w:val="none"/>
          <w:lang w:val="en-US" w:eastAsia="zh-CN"/>
        </w:rPr>
        <w:t>专业分包单位</w:t>
      </w:r>
      <w:r>
        <w:rPr>
          <w:rFonts w:hint="eastAsia" w:ascii="宋体" w:hAnsi="宋体"/>
          <w:color w:val="auto"/>
          <w:sz w:val="24"/>
          <w:highlight w:val="none"/>
        </w:rPr>
        <w:t>在需要拆除有关安全设施的时候，必须上报总承包单位统一安排。</w:t>
      </w:r>
    </w:p>
    <w:p w14:paraId="53A03D6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②</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进场施工时应在本单位施工范围内设置相应的安全消防设施，有义务保护现场各项安全、消防设施的完好，如施工脚手架、临边护栏及消防器材等，不得擅自变更及增加施工荷载。</w:t>
      </w:r>
    </w:p>
    <w:p w14:paraId="3EC5E8FC">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10、轴线与标高：</w:t>
      </w:r>
    </w:p>
    <w:p w14:paraId="4C7BB026">
      <w:pPr>
        <w:spacing w:line="336" w:lineRule="auto"/>
        <w:ind w:firstLine="480" w:firstLineChars="200"/>
        <w:rPr>
          <w:rFonts w:hint="eastAsia" w:ascii="宋体" w:hAnsi="宋体"/>
          <w:color w:val="auto"/>
          <w:sz w:val="24"/>
          <w:highlight w:val="none"/>
        </w:rPr>
      </w:pPr>
      <w:r>
        <w:rPr>
          <w:rFonts w:hint="eastAsia" w:ascii="宋体" w:hAnsi="宋体"/>
          <w:color w:val="auto"/>
          <w:sz w:val="24"/>
          <w:highlight w:val="none"/>
        </w:rPr>
        <w:t>总承包单位有义务为</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提供轴线和标高的控制点，包括在每层每房间及必要的位置设有标高控制线，以供</w:t>
      </w:r>
      <w:r>
        <w:rPr>
          <w:rFonts w:hint="eastAsia" w:ascii="宋体" w:hAnsi="宋体"/>
          <w:color w:val="auto"/>
          <w:sz w:val="24"/>
          <w:highlight w:val="none"/>
          <w:lang w:val="en-US" w:eastAsia="zh-CN"/>
        </w:rPr>
        <w:t>专业分包单位</w:t>
      </w:r>
      <w:r>
        <w:rPr>
          <w:rFonts w:hint="eastAsia" w:ascii="宋体" w:hAnsi="宋体"/>
          <w:color w:val="auto"/>
          <w:sz w:val="24"/>
          <w:highlight w:val="none"/>
        </w:rPr>
        <w:t>作施工定位和高程使用。</w:t>
      </w:r>
    </w:p>
    <w:p w14:paraId="7D798E47">
      <w:pPr>
        <w:pStyle w:val="26"/>
        <w:numPr>
          <w:ilvl w:val="-1"/>
          <w:numId w:val="0"/>
        </w:numPr>
        <w:spacing w:line="360" w:lineRule="auto"/>
        <w:ind w:left="66" w:firstLine="352" w:firstLineChars="147"/>
        <w:textAlignment w:val="baseline"/>
        <w:rPr>
          <w:rFonts w:ascii="宋体" w:hAnsi="宋体" w:cs="Arial"/>
          <w:color w:val="auto"/>
          <w:sz w:val="24"/>
          <w:szCs w:val="24"/>
          <w:highlight w:val="none"/>
        </w:rPr>
      </w:pPr>
      <w:r>
        <w:rPr>
          <w:rFonts w:hint="eastAsia" w:ascii="宋体" w:hAnsi="宋体"/>
          <w:color w:val="auto"/>
          <w:sz w:val="24"/>
          <w:highlight w:val="none"/>
          <w:lang w:val="en-US" w:eastAsia="zh-CN"/>
        </w:rPr>
        <w:t>11、</w:t>
      </w:r>
      <w:r>
        <w:rPr>
          <w:rFonts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ascii="宋体" w:hAnsi="宋体" w:cs="Arial"/>
          <w:color w:val="auto"/>
          <w:sz w:val="24"/>
          <w:szCs w:val="24"/>
          <w:highlight w:val="none"/>
        </w:rPr>
        <w:t>对于甲供材料及甲指乙供材料的</w:t>
      </w:r>
      <w:r>
        <w:rPr>
          <w:rFonts w:hint="eastAsia" w:ascii="宋体" w:hAnsi="宋体" w:cs="Arial"/>
          <w:color w:val="auto"/>
          <w:sz w:val="24"/>
          <w:szCs w:val="24"/>
          <w:highlight w:val="none"/>
          <w:lang w:val="en-US" w:eastAsia="zh-CN"/>
        </w:rPr>
        <w:t>总承包管理</w:t>
      </w:r>
      <w:r>
        <w:rPr>
          <w:rFonts w:ascii="宋体" w:hAnsi="宋体" w:cs="Arial"/>
          <w:color w:val="auto"/>
          <w:sz w:val="24"/>
          <w:szCs w:val="24"/>
          <w:highlight w:val="none"/>
        </w:rPr>
        <w:t>配合</w:t>
      </w:r>
      <w:r>
        <w:rPr>
          <w:rFonts w:hint="eastAsia" w:ascii="宋体" w:hAnsi="宋体" w:cs="Arial"/>
          <w:color w:val="auto"/>
          <w:sz w:val="24"/>
          <w:szCs w:val="24"/>
          <w:highlight w:val="none"/>
          <w:lang w:val="en-US" w:eastAsia="zh-CN"/>
        </w:rPr>
        <w:t>及服务</w:t>
      </w:r>
      <w:r>
        <w:rPr>
          <w:rFonts w:ascii="宋体" w:hAnsi="宋体" w:cs="Arial"/>
          <w:color w:val="auto"/>
          <w:sz w:val="24"/>
          <w:szCs w:val="24"/>
          <w:highlight w:val="none"/>
        </w:rPr>
        <w:t>工作：</w:t>
      </w:r>
    </w:p>
    <w:p w14:paraId="3B5445FC">
      <w:pPr>
        <w:pStyle w:val="26"/>
        <w:numPr>
          <w:ilvl w:val="1"/>
          <w:numId w:val="2"/>
        </w:numPr>
        <w:spacing w:line="360" w:lineRule="auto"/>
        <w:ind w:left="6" w:firstLine="414" w:firstLineChars="0"/>
        <w:rPr>
          <w:rFonts w:ascii="宋体" w:hAnsi="宋体" w:cs="Arial"/>
          <w:color w:val="auto"/>
          <w:sz w:val="24"/>
          <w:szCs w:val="24"/>
          <w:highlight w:val="none"/>
        </w:rPr>
      </w:pPr>
      <w:r>
        <w:rPr>
          <w:rFonts w:hint="eastAsia"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hint="eastAsia" w:ascii="宋体" w:hAnsi="宋体" w:cs="Arial"/>
          <w:color w:val="auto"/>
          <w:sz w:val="24"/>
          <w:szCs w:val="24"/>
          <w:highlight w:val="none"/>
        </w:rPr>
        <w:t>须为发包人提供足够的甲供料的存储、中转场地。</w:t>
      </w:r>
    </w:p>
    <w:p w14:paraId="2B0DA8B1">
      <w:pPr>
        <w:pStyle w:val="26"/>
        <w:numPr>
          <w:ilvl w:val="1"/>
          <w:numId w:val="2"/>
        </w:numPr>
        <w:spacing w:line="360" w:lineRule="auto"/>
        <w:ind w:left="6" w:firstLine="414" w:firstLineChars="0"/>
        <w:rPr>
          <w:rFonts w:ascii="宋体" w:hAnsi="宋体" w:cs="Arial"/>
          <w:color w:val="auto"/>
          <w:sz w:val="24"/>
          <w:szCs w:val="24"/>
          <w:highlight w:val="none"/>
        </w:rPr>
      </w:pPr>
      <w:r>
        <w:rPr>
          <w:rFonts w:hint="eastAsia"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hint="eastAsia" w:ascii="宋体" w:hAnsi="宋体" w:cs="Arial"/>
          <w:color w:val="auto"/>
          <w:sz w:val="24"/>
          <w:szCs w:val="24"/>
          <w:highlight w:val="none"/>
        </w:rPr>
        <w:t>必须在工地接收指定供货方送来的物料和设备，并负责有关物料和设备的卸货、储存、堆放、从储存点至安装点的一次或多次搬运及安装。</w:t>
      </w:r>
    </w:p>
    <w:p w14:paraId="460D6777">
      <w:pPr>
        <w:pStyle w:val="26"/>
        <w:numPr>
          <w:ilvl w:val="1"/>
          <w:numId w:val="2"/>
        </w:numPr>
        <w:spacing w:line="360" w:lineRule="auto"/>
        <w:ind w:left="6" w:firstLine="414" w:firstLineChars="0"/>
        <w:rPr>
          <w:rFonts w:ascii="宋体" w:hAnsi="宋体" w:cs="Arial"/>
          <w:color w:val="auto"/>
          <w:sz w:val="24"/>
          <w:szCs w:val="24"/>
          <w:highlight w:val="none"/>
        </w:rPr>
      </w:pPr>
      <w:r>
        <w:rPr>
          <w:rFonts w:hint="eastAsia"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hint="eastAsia" w:ascii="宋体" w:hAnsi="宋体" w:cs="Arial"/>
          <w:color w:val="auto"/>
          <w:sz w:val="24"/>
          <w:szCs w:val="24"/>
          <w:highlight w:val="none"/>
        </w:rPr>
        <w:t>须在物料和设备到工地当日开箱验收，遇有破损或不合规格的、马上通知发包人并与指定供货方安排调换。</w:t>
      </w:r>
    </w:p>
    <w:p w14:paraId="14C59329">
      <w:pPr>
        <w:pStyle w:val="26"/>
        <w:numPr>
          <w:ilvl w:val="1"/>
          <w:numId w:val="2"/>
        </w:numPr>
        <w:spacing w:line="360" w:lineRule="auto"/>
        <w:ind w:left="6" w:firstLine="414" w:firstLineChars="0"/>
        <w:rPr>
          <w:rFonts w:hint="default" w:ascii="宋体" w:hAnsi="宋体" w:eastAsia="宋体"/>
          <w:color w:val="auto"/>
          <w:sz w:val="24"/>
          <w:highlight w:val="none"/>
          <w:lang w:val="en-US" w:eastAsia="zh-CN"/>
        </w:rPr>
      </w:pPr>
      <w:r>
        <w:rPr>
          <w:rFonts w:hint="eastAsia"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hint="eastAsia" w:ascii="宋体" w:hAnsi="宋体" w:cs="Arial"/>
          <w:color w:val="auto"/>
          <w:sz w:val="24"/>
          <w:szCs w:val="24"/>
          <w:highlight w:val="none"/>
        </w:rPr>
        <w:t>须全面负责安全保管指定供货人送抵工地而总承包方已接收的物料和设备，并自费补充任何受破坏、遗失或被偷窃的物料和设备。</w:t>
      </w:r>
    </w:p>
    <w:p w14:paraId="40480BC3">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、其他：</w:t>
      </w:r>
    </w:p>
    <w:p w14:paraId="405CF8D9">
      <w:pPr>
        <w:numPr>
          <w:ilvl w:val="-1"/>
          <w:numId w:val="0"/>
        </w:numPr>
        <w:spacing w:line="336" w:lineRule="auto"/>
        <w:ind w:left="0" w:firstLine="480" w:firstLineChars="200"/>
        <w:textAlignment w:val="auto"/>
        <w:rPr>
          <w:rFonts w:hint="eastAsia" w:ascii="宋体" w:hAnsi="宋体"/>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1</w:t>
      </w:r>
      <w:r>
        <w:rPr>
          <w:rFonts w:hint="eastAsia" w:ascii="宋体" w:hAnsi="宋体"/>
          <w:color w:val="auto"/>
          <w:sz w:val="24"/>
          <w:highlight w:val="none"/>
          <w:lang w:eastAsia="zh-CN"/>
        </w:rPr>
        <w:t>）</w:t>
      </w:r>
      <w:r>
        <w:rPr>
          <w:rFonts w:hint="eastAsia" w:ascii="宋体" w:hAnsi="宋体"/>
          <w:color w:val="auto"/>
          <w:sz w:val="24"/>
          <w:highlight w:val="none"/>
        </w:rPr>
        <w:t>总承包单位负责对专业分包人相关资料进行归档、备案管理(含需要总承包单位名义做竣工资料的配合资料盖章等)。</w:t>
      </w:r>
    </w:p>
    <w:p w14:paraId="45DE1BC4">
      <w:pPr>
        <w:numPr>
          <w:ilvl w:val="-1"/>
          <w:numId w:val="0"/>
        </w:numPr>
        <w:spacing w:line="336" w:lineRule="auto"/>
        <w:ind w:left="0" w:firstLine="480" w:firstLineChars="200"/>
        <w:rPr>
          <w:rFonts w:hint="eastAsia" w:ascii="宋体" w:hAnsi="宋体" w:cs="Arial"/>
          <w:color w:val="auto"/>
          <w:sz w:val="24"/>
          <w:szCs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w:t>
      </w:r>
      <w:r>
        <w:rPr>
          <w:rFonts w:hint="eastAsia" w:ascii="宋体" w:hAnsi="宋体" w:cs="Arial"/>
          <w:color w:val="auto"/>
          <w:sz w:val="24"/>
          <w:szCs w:val="24"/>
          <w:highlight w:val="none"/>
        </w:rPr>
        <w:t>总承包</w:t>
      </w:r>
      <w:r>
        <w:rPr>
          <w:rFonts w:hint="eastAsia" w:ascii="宋体" w:hAnsi="宋体" w:cs="Arial"/>
          <w:color w:val="auto"/>
          <w:sz w:val="24"/>
          <w:szCs w:val="24"/>
          <w:highlight w:val="none"/>
          <w:lang w:val="en-US" w:eastAsia="zh-CN"/>
        </w:rPr>
        <w:t>单位</w:t>
      </w:r>
      <w:r>
        <w:rPr>
          <w:rFonts w:hint="eastAsia" w:ascii="宋体" w:hAnsi="宋体" w:cs="Arial"/>
          <w:color w:val="auto"/>
          <w:sz w:val="24"/>
          <w:szCs w:val="24"/>
          <w:highlight w:val="none"/>
        </w:rPr>
        <w:t>须为发包人委托第三方监测（含检测）单位的工作提供配合服务，以及负责按技术要求采用合格材料对监测（含检测）造成的孔洞等进行修补恢复工作。</w:t>
      </w:r>
    </w:p>
    <w:p w14:paraId="7D86ADE1">
      <w:pPr>
        <w:numPr>
          <w:ilvl w:val="-1"/>
          <w:numId w:val="0"/>
        </w:numPr>
        <w:spacing w:line="336" w:lineRule="auto"/>
        <w:ind w:left="0" w:firstLine="480" w:firstLineChars="200"/>
        <w:rPr>
          <w:rFonts w:hint="eastAsia" w:ascii="宋体" w:hAnsi="宋体"/>
          <w:color w:val="auto"/>
          <w:sz w:val="24"/>
          <w:highlight w:val="none"/>
        </w:rPr>
      </w:pPr>
      <w:r>
        <w:rPr>
          <w:rFonts w:hint="eastAsia" w:ascii="宋体" w:hAnsi="宋体" w:cs="Arial"/>
          <w:color w:val="auto"/>
          <w:sz w:val="24"/>
          <w:szCs w:val="24"/>
          <w:highlight w:val="none"/>
          <w:lang w:eastAsia="zh-CN"/>
        </w:rPr>
        <w:t>（</w:t>
      </w:r>
      <w:r>
        <w:rPr>
          <w:rFonts w:hint="eastAsia" w:ascii="宋体" w:hAnsi="宋体" w:cs="Arial"/>
          <w:color w:val="auto"/>
          <w:sz w:val="24"/>
          <w:szCs w:val="24"/>
          <w:highlight w:val="none"/>
          <w:lang w:val="en-US" w:eastAsia="zh-CN"/>
        </w:rPr>
        <w:t>3</w:t>
      </w:r>
      <w:r>
        <w:rPr>
          <w:rFonts w:hint="eastAsia" w:ascii="宋体" w:hAnsi="宋体" w:cs="Arial"/>
          <w:color w:val="auto"/>
          <w:sz w:val="24"/>
          <w:szCs w:val="24"/>
          <w:highlight w:val="none"/>
          <w:lang w:eastAsia="zh-CN"/>
        </w:rPr>
        <w:t>）</w:t>
      </w:r>
      <w:r>
        <w:rPr>
          <w:rFonts w:ascii="宋体" w:hAnsi="宋体" w:cs="Arial"/>
          <w:color w:val="auto"/>
          <w:sz w:val="24"/>
          <w:szCs w:val="24"/>
          <w:highlight w:val="none"/>
        </w:rPr>
        <w:t>发包人在招标文件及询标过程中已经明确的其他隶属于总包管理配合服务范围的内容</w:t>
      </w:r>
      <w:r>
        <w:rPr>
          <w:rFonts w:hint="eastAsia" w:ascii="宋体" w:hAnsi="宋体" w:cs="Arial"/>
          <w:color w:val="auto"/>
          <w:sz w:val="24"/>
          <w:szCs w:val="24"/>
          <w:highlight w:val="none"/>
          <w:lang w:eastAsia="zh-CN"/>
        </w:rPr>
        <w:t>。</w:t>
      </w:r>
    </w:p>
    <w:p w14:paraId="6B59401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二、</w:t>
      </w:r>
      <w:r>
        <w:rPr>
          <w:rFonts w:hint="eastAsia" w:ascii="宋体" w:hAnsi="宋体"/>
          <w:color w:val="auto"/>
          <w:sz w:val="24"/>
          <w:highlight w:val="none"/>
          <w:lang w:val="en-US" w:eastAsia="zh-CN"/>
        </w:rPr>
        <w:t>专业分包单位</w:t>
      </w:r>
      <w:r>
        <w:rPr>
          <w:rFonts w:hint="eastAsia" w:ascii="宋体" w:hAnsi="宋体"/>
          <w:color w:val="auto"/>
          <w:sz w:val="24"/>
          <w:highlight w:val="none"/>
        </w:rPr>
        <w:t>一般义务</w:t>
      </w:r>
    </w:p>
    <w:p w14:paraId="59D1B75C">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要接受总承包单位的管理：</w:t>
      </w:r>
    </w:p>
    <w:p w14:paraId="1D5F5E2C">
      <w:pPr>
        <w:spacing w:line="336"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专业分包单位</w:t>
      </w:r>
      <w:r>
        <w:rPr>
          <w:rFonts w:hint="eastAsia" w:ascii="宋体" w:hAnsi="宋体"/>
          <w:color w:val="auto"/>
          <w:sz w:val="24"/>
          <w:highlight w:val="none"/>
        </w:rPr>
        <w:t>必须满足发包人与总承包单位所签订的施工合同要求，在工期、质量、安全、现场文明施工等方面接受总承包单位的管理和协调。</w:t>
      </w:r>
    </w:p>
    <w:p w14:paraId="4BE6B8B8">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进入现场施工的必备条件：</w:t>
      </w:r>
    </w:p>
    <w:p w14:paraId="7A9C64D0">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（1）向总承包单位提交由发包人确认为</w:t>
      </w:r>
      <w:r>
        <w:rPr>
          <w:rFonts w:hint="eastAsia" w:ascii="宋体" w:hAnsi="宋体"/>
          <w:color w:val="auto"/>
          <w:sz w:val="24"/>
          <w:highlight w:val="none"/>
          <w:lang w:val="en-US" w:eastAsia="zh-CN"/>
        </w:rPr>
        <w:t>专业分包单位</w:t>
      </w:r>
      <w:r>
        <w:rPr>
          <w:rFonts w:hint="eastAsia" w:ascii="宋体" w:hAnsi="宋体"/>
          <w:color w:val="auto"/>
          <w:sz w:val="24"/>
          <w:highlight w:val="none"/>
        </w:rPr>
        <w:t>的证明文件；</w:t>
      </w:r>
    </w:p>
    <w:p w14:paraId="05AFFE7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（2）向总承包单位提交经</w:t>
      </w:r>
      <w:r>
        <w:rPr>
          <w:rFonts w:hint="eastAsia" w:ascii="宋体" w:hAnsi="宋体"/>
          <w:b/>
          <w:color w:val="auto"/>
          <w:sz w:val="24"/>
          <w:highlight w:val="none"/>
        </w:rPr>
        <w:t>专业分包监理人</w:t>
      </w:r>
      <w:r>
        <w:rPr>
          <w:rFonts w:hint="eastAsia" w:ascii="宋体" w:hAnsi="宋体"/>
          <w:color w:val="auto"/>
          <w:sz w:val="24"/>
          <w:highlight w:val="none"/>
        </w:rPr>
        <w:t>确认的分包工程的“施工组织设计方案”，包括：</w:t>
      </w:r>
    </w:p>
    <w:p w14:paraId="52483120">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①施工方案简介。</w:t>
      </w:r>
    </w:p>
    <w:p w14:paraId="3769F626">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②分包工程施工进度计划。</w:t>
      </w:r>
    </w:p>
    <w:p w14:paraId="3CD47A9A">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③主要技术措施方案。</w:t>
      </w:r>
    </w:p>
    <w:p w14:paraId="59E6DEBF">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④质量保证措施。</w:t>
      </w:r>
    </w:p>
    <w:p w14:paraId="6D28245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⑤安全与环保保证措施。</w:t>
      </w:r>
    </w:p>
    <w:p w14:paraId="12B71DB0">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⑥材料设备进场计划。</w:t>
      </w:r>
    </w:p>
    <w:p w14:paraId="296EBA3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⑦劳动力进场计划。</w:t>
      </w:r>
    </w:p>
    <w:p w14:paraId="2E9CFD23">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3、质量管理基本义务：</w:t>
      </w:r>
    </w:p>
    <w:p w14:paraId="105DD343">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（1）对作业人员进行工艺过程技术交底，并做好交底记录。</w:t>
      </w:r>
    </w:p>
    <w:p w14:paraId="7DEF7483">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（2）实施有关质量检验的规定，并做好质量检验记录。</w:t>
      </w:r>
    </w:p>
    <w:p w14:paraId="4A608DE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（3）对工序间的技术接口实行交接手续。</w:t>
      </w:r>
    </w:p>
    <w:p w14:paraId="0AA7F722">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（4）提供原材料、半成品、成品的产品合格证及质保书。</w:t>
      </w:r>
    </w:p>
    <w:p w14:paraId="5F1E8A1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（5）做好不合格品处理的记录及纠正和预防措施工作。</w:t>
      </w:r>
    </w:p>
    <w:p w14:paraId="5F869EAD">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（6）加强成品保护。</w:t>
      </w:r>
    </w:p>
    <w:p w14:paraId="5B288DD7">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（7）认真做好本</w:t>
      </w:r>
      <w:r>
        <w:rPr>
          <w:rFonts w:hint="eastAsia" w:ascii="宋体" w:hAnsi="宋体"/>
          <w:color w:val="auto"/>
          <w:sz w:val="24"/>
          <w:highlight w:val="none"/>
          <w:lang w:val="en-US" w:eastAsia="zh-CN"/>
        </w:rPr>
        <w:t>专业分包</w:t>
      </w:r>
      <w:r>
        <w:rPr>
          <w:rFonts w:hint="eastAsia" w:ascii="宋体" w:hAnsi="宋体"/>
          <w:color w:val="auto"/>
          <w:sz w:val="24"/>
          <w:highlight w:val="none"/>
        </w:rPr>
        <w:t>工程的验收交付工作。</w:t>
      </w:r>
    </w:p>
    <w:p w14:paraId="187AC269">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（8）按合同规定做</w:t>
      </w:r>
      <w:r>
        <w:rPr>
          <w:rFonts w:hint="eastAsia" w:ascii="宋体" w:hAnsi="宋体"/>
          <w:color w:val="auto"/>
          <w:sz w:val="24"/>
          <w:highlight w:val="none"/>
          <w:lang w:val="en-US" w:eastAsia="zh-CN"/>
        </w:rPr>
        <w:t>专业分包</w:t>
      </w:r>
      <w:r>
        <w:rPr>
          <w:rFonts w:hint="eastAsia" w:ascii="宋体" w:hAnsi="宋体"/>
          <w:color w:val="auto"/>
          <w:sz w:val="24"/>
          <w:highlight w:val="none"/>
        </w:rPr>
        <w:t>工程的回访保修工作。</w:t>
      </w:r>
    </w:p>
    <w:p w14:paraId="17C24DAF">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（9）发生质量和安全事故时，必须按有关规定及时向总承包单位报告，并作出事故分析调查及善后处理意见。</w:t>
      </w:r>
    </w:p>
    <w:p w14:paraId="488A2F6E">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4、进度管理基本义务：</w:t>
      </w:r>
    </w:p>
    <w:p w14:paraId="2DD093C2">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（1）编制</w:t>
      </w:r>
      <w:r>
        <w:rPr>
          <w:rFonts w:hint="eastAsia" w:ascii="宋体" w:hAnsi="宋体"/>
          <w:color w:val="auto"/>
          <w:sz w:val="24"/>
          <w:highlight w:val="none"/>
          <w:lang w:val="en-US" w:eastAsia="zh-CN"/>
        </w:rPr>
        <w:t>专业</w:t>
      </w:r>
      <w:r>
        <w:rPr>
          <w:rFonts w:hint="eastAsia" w:ascii="宋体" w:hAnsi="宋体"/>
          <w:color w:val="auto"/>
          <w:sz w:val="24"/>
          <w:highlight w:val="none"/>
        </w:rPr>
        <w:t>分包工程施工进度计划</w:t>
      </w:r>
    </w:p>
    <w:p w14:paraId="6A228E98">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（2）按总承包要求执行月报或周报</w:t>
      </w:r>
    </w:p>
    <w:p w14:paraId="098F36B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（3）顾全大局，主动做好协调工作：</w:t>
      </w:r>
    </w:p>
    <w:p w14:paraId="18798081">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①参加有关工作协调会议，积极支持和配合总承包单位做好工程协调。</w:t>
      </w:r>
    </w:p>
    <w:p w14:paraId="5A701EB6">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②及时根据总承包单位工作安排主动调整进度计划。</w:t>
      </w:r>
    </w:p>
    <w:p w14:paraId="25B17F96">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③在进度上有任何提前及延误应及时向总承包单位报告。</w:t>
      </w:r>
    </w:p>
    <w:p w14:paraId="2D0108E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④有权向总承包单位书面提出工程协调的建议，总承包单位应作出书面回复和解决。</w:t>
      </w:r>
    </w:p>
    <w:p w14:paraId="7655C62E">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5、安全、消防、现场标准化管理等的基本义务：</w:t>
      </w:r>
    </w:p>
    <w:p w14:paraId="0874ED4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（1）遵守各种安全生产规程与规定：</w:t>
      </w:r>
    </w:p>
    <w:p w14:paraId="720AD1B5">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①遵守国家、省、市政府、主管部门颁布的安全生产规程与规定，以及总承包单位和发包人提出的各种安全生产规定。</w:t>
      </w:r>
    </w:p>
    <w:p w14:paraId="6E166511">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②结合工程项目实际，识别和评价危险源，必须制定管理方案，并认真实施。</w:t>
      </w:r>
    </w:p>
    <w:p w14:paraId="3F6EEA1A">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③接受总承包单位对分包工程的安全管理。</w:t>
      </w:r>
    </w:p>
    <w:p w14:paraId="5CB2E1E4">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④特殊工种必须持证上岗，复印件汇总后报总承包单位检查备案。</w:t>
      </w:r>
    </w:p>
    <w:p w14:paraId="7C27A5E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⑥</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有义务保护现场各项安全、消防设施，如施工脚手架、临边护栏及消防器材等，不得擅自变更及增加施工荷载。</w:t>
      </w:r>
    </w:p>
    <w:p w14:paraId="51BD8D3C">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⑦必须接受总承包单位的安全监控，参与工地的各项安全、消防检查工作，并落实有关整改事宜。</w:t>
      </w:r>
    </w:p>
    <w:p w14:paraId="528F3EC4">
      <w:pPr>
        <w:spacing w:line="336" w:lineRule="auto"/>
        <w:ind w:firstLine="480" w:firstLineChars="200"/>
        <w:rPr>
          <w:rFonts w:ascii="宋体" w:hAnsi="宋体"/>
          <w:color w:val="auto"/>
          <w:sz w:val="24"/>
          <w:highlight w:val="none"/>
        </w:rPr>
      </w:pPr>
      <w:r>
        <w:rPr>
          <w:rFonts w:ascii="宋体" w:hAnsi="宋体"/>
          <w:color w:val="auto"/>
          <w:sz w:val="24"/>
          <w:highlight w:val="none"/>
        </w:rPr>
        <w:t>⑧</w:t>
      </w:r>
      <w:r>
        <w:rPr>
          <w:rFonts w:hint="eastAsia" w:ascii="宋体" w:hAnsi="宋体"/>
          <w:color w:val="auto"/>
          <w:sz w:val="24"/>
          <w:highlight w:val="none"/>
        </w:rPr>
        <w:t>发生安全事故时，必须及时向总承包单位报告，并作出事故分析调查及善后处理意见。</w:t>
      </w:r>
    </w:p>
    <w:p w14:paraId="13D9ED3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（2）做好消防与治安管理工作，负责与当地公安部门协商，在现场建立治安管理机构或联防组织，统一管理施工场地的治安保卫事项，履行合同工程的治安保卫职责。</w:t>
      </w:r>
    </w:p>
    <w:p w14:paraId="579C6FC5">
      <w:pPr>
        <w:spacing w:line="336"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专业分包单位</w:t>
      </w:r>
      <w:r>
        <w:rPr>
          <w:rFonts w:hint="eastAsia" w:ascii="宋体" w:hAnsi="宋体"/>
          <w:color w:val="auto"/>
          <w:sz w:val="24"/>
          <w:highlight w:val="none"/>
        </w:rPr>
        <w:t>应在工程开工后7天内编制施工场地治安管理计划，并制定应对突发治安事件的紧急预案。</w:t>
      </w:r>
    </w:p>
    <w:p w14:paraId="5A064806">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（3）做好现场标准化管理工作：</w:t>
      </w:r>
    </w:p>
    <w:p w14:paraId="7547D64C">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①</w:t>
      </w:r>
      <w:r>
        <w:rPr>
          <w:rFonts w:hint="eastAsia" w:ascii="宋体" w:hAnsi="宋体"/>
          <w:color w:val="auto"/>
          <w:sz w:val="24"/>
          <w:highlight w:val="none"/>
          <w:lang w:val="en-US" w:eastAsia="zh-CN"/>
        </w:rPr>
        <w:t>专业分包单位</w:t>
      </w:r>
      <w:r>
        <w:rPr>
          <w:rFonts w:hint="eastAsia" w:ascii="宋体" w:hAnsi="宋体"/>
          <w:color w:val="auto"/>
          <w:sz w:val="24"/>
          <w:highlight w:val="none"/>
        </w:rPr>
        <w:t>进场施工前，应根据总承包单位制定的施工平面布置图安排施工场地，经总承包单位审核同意后执行。</w:t>
      </w:r>
    </w:p>
    <w:p w14:paraId="5DC2CC5B">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②遵守文明施工的有关规定，维护好安全防护设施。</w:t>
      </w:r>
    </w:p>
    <w:p w14:paraId="2BD1B41E">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6、进场材料管理的基本义务：</w:t>
      </w:r>
    </w:p>
    <w:p w14:paraId="360FDCF8">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专业分包单位</w:t>
      </w:r>
      <w:r>
        <w:rPr>
          <w:rFonts w:hint="eastAsia" w:ascii="宋体" w:hAnsi="宋体"/>
          <w:color w:val="auto"/>
          <w:sz w:val="24"/>
          <w:highlight w:val="none"/>
        </w:rPr>
        <w:t>应指定专人负责对进场所需材料的管理，并服从总承包单位关于进场材料管理方面的要求。</w:t>
      </w:r>
    </w:p>
    <w:p w14:paraId="71376B57">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7、劳动力管理基本义务：</w:t>
      </w:r>
    </w:p>
    <w:p w14:paraId="246491FE">
      <w:pPr>
        <w:spacing w:line="336"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专业分包单位</w:t>
      </w:r>
      <w:r>
        <w:rPr>
          <w:rFonts w:hint="eastAsia" w:ascii="宋体" w:hAnsi="宋体"/>
          <w:color w:val="auto"/>
          <w:sz w:val="24"/>
          <w:highlight w:val="none"/>
        </w:rPr>
        <w:t>有责任约束所属员工遵守政府部门发布的有关政府、法律、法规、发包人的各项规章制度，以及施工现场的各项管理规定，确保现场文明施工有序地进行。</w:t>
      </w:r>
    </w:p>
    <w:p w14:paraId="38B4E5B5">
      <w:pPr>
        <w:rPr>
          <w:rFonts w:ascii="宋体" w:hAnsi="宋体"/>
          <w:color w:val="auto"/>
          <w:highlight w:val="none"/>
        </w:rPr>
      </w:pPr>
      <w:bookmarkStart w:id="36" w:name="_Toc500947854"/>
      <w:bookmarkStart w:id="37" w:name="_Toc469996217"/>
      <w:bookmarkStart w:id="38" w:name="_Toc469996953"/>
      <w:bookmarkStart w:id="39" w:name="_Toc516682323"/>
      <w:bookmarkStart w:id="40" w:name="_Toc492565606"/>
      <w:bookmarkStart w:id="41" w:name="_Toc469999338"/>
      <w:bookmarkStart w:id="42" w:name="_Toc516419801"/>
      <w:bookmarkStart w:id="43" w:name="_Toc496205450"/>
      <w:r>
        <w:rPr>
          <w:rFonts w:hint="eastAsia" w:ascii="宋体" w:hAnsi="宋体"/>
          <w:color w:val="auto"/>
          <w:highlight w:val="none"/>
        </w:rPr>
        <w:t xml:space="preserve">      </w:t>
      </w:r>
      <w:r>
        <w:rPr>
          <w:rFonts w:hint="eastAsia" w:ascii="宋体" w:hAnsi="宋体"/>
          <w:color w:val="auto"/>
          <w:highlight w:val="none"/>
          <w:lang w:val="en-US"/>
        </w:rPr>
        <w:t xml:space="preserve">    </w:t>
      </w:r>
      <w:bookmarkEnd w:id="36"/>
      <w:bookmarkEnd w:id="37"/>
      <w:bookmarkEnd w:id="38"/>
      <w:bookmarkEnd w:id="39"/>
      <w:bookmarkEnd w:id="40"/>
      <w:bookmarkEnd w:id="41"/>
      <w:bookmarkEnd w:id="42"/>
      <w:bookmarkEnd w:id="43"/>
    </w:p>
    <w:bookmarkEnd w:id="44"/>
    <w:sectPr>
      <w:footerReference r:id="rId5" w:type="default"/>
      <w:pgSz w:w="11906" w:h="16838"/>
      <w:pgMar w:top="1134" w:right="1134" w:bottom="1134" w:left="1134" w:header="284" w:footer="567" w:gutter="0"/>
      <w:paperSrc w:first="7" w:other="7"/>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F6B08">
    <w:pPr>
      <w:pStyle w:val="11"/>
      <w:jc w:val="center"/>
    </w:pPr>
  </w:p>
  <w:p w14:paraId="79832EEF">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15337">
    <w:pPr>
      <w:pStyle w:val="11"/>
    </w:pPr>
    <w:r>
      <w:rPr>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28636285"/>
                          </w:sdtPr>
                          <w:sdtEndPr>
                            <w:rPr>
                              <w:rFonts w:hint="eastAsia" w:ascii="宋体" w:hAnsi="宋体" w:cs="宋体"/>
                            </w:rPr>
                          </w:sdtEndPr>
                          <w:sdtContent>
                            <w:p w14:paraId="33ED6DB9">
                              <w:pPr>
                                <w:pStyle w:val="11"/>
                              </w:pPr>
                              <w:r>
                                <w:t xml:space="preserve"> </w:t>
                              </w:r>
                              <w:r>
                                <w:rPr>
                                  <w:rFonts w:hint="eastAsia" w:ascii="宋体" w:hAnsi="宋体" w:cs="宋体"/>
                                </w:rPr>
                                <w:fldChar w:fldCharType="begin"/>
                              </w:r>
                              <w:r>
                                <w:rPr>
                                  <w:rFonts w:hint="eastAsia" w:ascii="宋体" w:hAnsi="宋体" w:cs="宋体"/>
                                </w:rPr>
                                <w:instrText xml:space="preserve">PAGE</w:instrText>
                              </w:r>
                              <w:r>
                                <w:rPr>
                                  <w:rFonts w:hint="eastAsia" w:ascii="宋体" w:hAnsi="宋体" w:cs="宋体"/>
                                </w:rPr>
                                <w:fldChar w:fldCharType="separate"/>
                              </w:r>
                              <w:r>
                                <w:rPr>
                                  <w:rFonts w:ascii="宋体" w:hAnsi="宋体" w:cs="宋体"/>
                                </w:rPr>
                                <w:t>7</w:t>
                              </w:r>
                              <w:r>
                                <w:rPr>
                                  <w:rFonts w:hint="eastAsia" w:ascii="宋体" w:hAnsi="宋体" w:cs="宋体"/>
                                </w:rPr>
                                <w:fldChar w:fldCharType="end"/>
                              </w:r>
                              <w:r>
                                <w:rPr>
                                  <w:rFonts w:hint="eastAsia" w:ascii="宋体" w:hAnsi="宋体" w:cs="宋体"/>
                                </w:rPr>
                                <w:t>/</w:t>
                              </w:r>
                              <w:r>
                                <w:rPr>
                                  <w:rFonts w:hint="eastAsia" w:ascii="宋体" w:hAnsi="宋体" w:cs="宋体"/>
                                  <w:lang w:val="en-US" w:eastAsia="zh-CN"/>
                                </w:rPr>
                                <w:t>6</w:t>
                              </w:r>
                            </w:p>
                          </w:sdtContent>
                        </w:sdt>
                        <w:p w14:paraId="64403FC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1728636285"/>
                    </w:sdtPr>
                    <w:sdtEndPr>
                      <w:rPr>
                        <w:rFonts w:hint="eastAsia" w:ascii="宋体" w:hAnsi="宋体" w:cs="宋体"/>
                      </w:rPr>
                    </w:sdtEndPr>
                    <w:sdtContent>
                      <w:p w14:paraId="33ED6DB9">
                        <w:pPr>
                          <w:pStyle w:val="11"/>
                        </w:pPr>
                        <w:r>
                          <w:t xml:space="preserve"> </w:t>
                        </w:r>
                        <w:r>
                          <w:rPr>
                            <w:rFonts w:hint="eastAsia" w:ascii="宋体" w:hAnsi="宋体" w:cs="宋体"/>
                          </w:rPr>
                          <w:fldChar w:fldCharType="begin"/>
                        </w:r>
                        <w:r>
                          <w:rPr>
                            <w:rFonts w:hint="eastAsia" w:ascii="宋体" w:hAnsi="宋体" w:cs="宋体"/>
                          </w:rPr>
                          <w:instrText xml:space="preserve">PAGE</w:instrText>
                        </w:r>
                        <w:r>
                          <w:rPr>
                            <w:rFonts w:hint="eastAsia" w:ascii="宋体" w:hAnsi="宋体" w:cs="宋体"/>
                          </w:rPr>
                          <w:fldChar w:fldCharType="separate"/>
                        </w:r>
                        <w:r>
                          <w:rPr>
                            <w:rFonts w:ascii="宋体" w:hAnsi="宋体" w:cs="宋体"/>
                          </w:rPr>
                          <w:t>7</w:t>
                        </w:r>
                        <w:r>
                          <w:rPr>
                            <w:rFonts w:hint="eastAsia" w:ascii="宋体" w:hAnsi="宋体" w:cs="宋体"/>
                          </w:rPr>
                          <w:fldChar w:fldCharType="end"/>
                        </w:r>
                        <w:r>
                          <w:rPr>
                            <w:rFonts w:hint="eastAsia" w:ascii="宋体" w:hAnsi="宋体" w:cs="宋体"/>
                          </w:rPr>
                          <w:t>/</w:t>
                        </w:r>
                        <w:r>
                          <w:rPr>
                            <w:rFonts w:hint="eastAsia" w:ascii="宋体" w:hAnsi="宋体" w:cs="宋体"/>
                            <w:lang w:val="en-US" w:eastAsia="zh-CN"/>
                          </w:rPr>
                          <w:t>6</w:t>
                        </w:r>
                      </w:p>
                    </w:sdtContent>
                  </w:sdt>
                  <w:p w14:paraId="64403FC9"/>
                </w:txbxContent>
              </v:textbox>
            </v:shape>
          </w:pict>
        </mc:Fallback>
      </mc:AlternateContent>
    </w:r>
  </w:p>
  <w:p w14:paraId="3510F2BC">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50D7D">
    <w:pPr>
      <w:pStyle w:val="12"/>
      <w:pBdr>
        <w:bottom w:val="single" w:color="auto" w:sz="6" w:space="2"/>
      </w:pBdr>
      <w:jc w:val="both"/>
      <w:rPr>
        <w:rFonts w:hint="eastAsia" w:ascii="宋体" w:hAnsi="宋体"/>
        <w:sz w:val="20"/>
      </w:rPr>
    </w:pPr>
  </w:p>
  <w:p w14:paraId="45E45E93">
    <w:pPr>
      <w:pStyle w:val="12"/>
      <w:pBdr>
        <w:bottom w:val="single" w:color="auto" w:sz="6" w:space="2"/>
      </w:pBdr>
      <w:jc w:val="both"/>
      <w:rPr>
        <w:rFonts w:hint="eastAsia" w:ascii="宋体" w:hAnsi="宋体"/>
        <w:sz w:val="22"/>
        <w:szCs w:val="22"/>
        <w:lang w:val="en-US" w:eastAsia="zh-CN"/>
      </w:rPr>
    </w:pPr>
    <w:r>
      <w:rPr>
        <w:rFonts w:hint="eastAsia" w:ascii="宋体" w:hAnsi="宋体"/>
        <w:sz w:val="22"/>
        <w:szCs w:val="22"/>
      </w:rPr>
      <w:t xml:space="preserve">广州市金融城东区车陂村集体物业复建项目施工总承包工程      </w:t>
    </w:r>
    <w:r>
      <w:rPr>
        <w:rFonts w:ascii="宋体" w:hAnsi="宋体"/>
        <w:sz w:val="22"/>
        <w:szCs w:val="22"/>
      </w:rPr>
      <w:t xml:space="preserve">      </w:t>
    </w:r>
    <w:r>
      <w:rPr>
        <w:rFonts w:hint="eastAsia" w:ascii="宋体" w:hAnsi="宋体"/>
        <w:sz w:val="22"/>
        <w:szCs w:val="22"/>
      </w:rPr>
      <w:t xml:space="preserve">      </w:t>
    </w:r>
    <w:r>
      <w:rPr>
        <w:rFonts w:ascii="宋体" w:hAnsi="宋体"/>
        <w:sz w:val="22"/>
        <w:szCs w:val="22"/>
      </w:rPr>
      <w:t xml:space="preserve"> </w:t>
    </w:r>
    <w:r>
      <w:rPr>
        <w:rFonts w:hint="eastAsia" w:ascii="宋体" w:hAnsi="宋体"/>
        <w:sz w:val="22"/>
        <w:szCs w:val="22"/>
      </w:rPr>
      <w:t xml:space="preserve"> </w:t>
    </w:r>
    <w:r>
      <w:rPr>
        <w:rFonts w:ascii="宋体" w:hAnsi="宋体"/>
        <w:sz w:val="22"/>
        <w:szCs w:val="22"/>
      </w:rPr>
      <w:t xml:space="preserve">     </w:t>
    </w:r>
    <w:r>
      <w:rPr>
        <w:rFonts w:hint="eastAsia" w:ascii="宋体" w:hAnsi="宋体"/>
        <w:sz w:val="22"/>
        <w:szCs w:val="22"/>
        <w:lang w:val="en-US" w:eastAsia="zh-CN"/>
      </w:rPr>
      <w:t xml:space="preserve">        </w:t>
    </w:r>
  </w:p>
  <w:p w14:paraId="3CC96FCA">
    <w:pPr>
      <w:pStyle w:val="12"/>
      <w:pBdr>
        <w:bottom w:val="single" w:color="auto" w:sz="6" w:space="2"/>
      </w:pBdr>
      <w:jc w:val="center"/>
      <w:rPr>
        <w:rFonts w:ascii="宋体" w:hAnsi="宋体"/>
        <w:sz w:val="22"/>
        <w:szCs w:val="22"/>
      </w:rPr>
    </w:pPr>
    <w:r>
      <w:rPr>
        <w:rFonts w:hint="eastAsia" w:ascii="宋体" w:hAnsi="宋体"/>
        <w:sz w:val="22"/>
        <w:szCs w:val="22"/>
        <w:lang w:val="en-US" w:eastAsia="zh-CN"/>
      </w:rPr>
      <w:t xml:space="preserve">                                                        </w:t>
    </w:r>
    <w:r>
      <w:rPr>
        <w:rFonts w:hint="eastAsia" w:ascii="宋体" w:hAnsi="宋体"/>
        <w:sz w:val="22"/>
        <w:szCs w:val="22"/>
      </w:rPr>
      <w:t>第五册 总承包服务费及工作内容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7BDA6"/>
    <w:multiLevelType w:val="singleLevel"/>
    <w:tmpl w:val="8F47BDA6"/>
    <w:lvl w:ilvl="0" w:tentative="0">
      <w:start w:val="1"/>
      <w:numFmt w:val="decimal"/>
      <w:suff w:val="nothing"/>
      <w:lvlText w:val="%1、"/>
      <w:lvlJc w:val="left"/>
    </w:lvl>
  </w:abstractNum>
  <w:abstractNum w:abstractNumId="1">
    <w:nsid w:val="53A365C2"/>
    <w:multiLevelType w:val="multilevel"/>
    <w:tmpl w:val="53A365C2"/>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4F"/>
    <w:rsid w:val="00005153"/>
    <w:rsid w:val="0009639E"/>
    <w:rsid w:val="00160F56"/>
    <w:rsid w:val="0016478D"/>
    <w:rsid w:val="0017339A"/>
    <w:rsid w:val="001F5E5F"/>
    <w:rsid w:val="0022257B"/>
    <w:rsid w:val="00242A98"/>
    <w:rsid w:val="002F1C74"/>
    <w:rsid w:val="00325AB4"/>
    <w:rsid w:val="00325E94"/>
    <w:rsid w:val="00327E4F"/>
    <w:rsid w:val="0048709F"/>
    <w:rsid w:val="004A55E8"/>
    <w:rsid w:val="00511E8C"/>
    <w:rsid w:val="00544D86"/>
    <w:rsid w:val="005C29E8"/>
    <w:rsid w:val="00621331"/>
    <w:rsid w:val="00667691"/>
    <w:rsid w:val="006E3919"/>
    <w:rsid w:val="006F1632"/>
    <w:rsid w:val="0070317D"/>
    <w:rsid w:val="00785E26"/>
    <w:rsid w:val="0079563B"/>
    <w:rsid w:val="007A2F03"/>
    <w:rsid w:val="007C0F2D"/>
    <w:rsid w:val="00804ED2"/>
    <w:rsid w:val="00844425"/>
    <w:rsid w:val="00880FE3"/>
    <w:rsid w:val="009312DB"/>
    <w:rsid w:val="00A01A72"/>
    <w:rsid w:val="00A04C8F"/>
    <w:rsid w:val="00A34520"/>
    <w:rsid w:val="00A7752C"/>
    <w:rsid w:val="00AB4AE2"/>
    <w:rsid w:val="00B031DC"/>
    <w:rsid w:val="00B91CC7"/>
    <w:rsid w:val="00C247AF"/>
    <w:rsid w:val="00CC2F55"/>
    <w:rsid w:val="00CC6421"/>
    <w:rsid w:val="00D46B94"/>
    <w:rsid w:val="00D5518D"/>
    <w:rsid w:val="00D91E70"/>
    <w:rsid w:val="00EB6F84"/>
    <w:rsid w:val="00EF70C2"/>
    <w:rsid w:val="00EF7CEB"/>
    <w:rsid w:val="00F15F68"/>
    <w:rsid w:val="00F40403"/>
    <w:rsid w:val="00F630D0"/>
    <w:rsid w:val="013C28DD"/>
    <w:rsid w:val="016033DD"/>
    <w:rsid w:val="01752734"/>
    <w:rsid w:val="03601821"/>
    <w:rsid w:val="053E5AFA"/>
    <w:rsid w:val="060E683B"/>
    <w:rsid w:val="06497B03"/>
    <w:rsid w:val="095D6BF2"/>
    <w:rsid w:val="0A7436A0"/>
    <w:rsid w:val="0AA51F88"/>
    <w:rsid w:val="0B2D35C4"/>
    <w:rsid w:val="0CC2416B"/>
    <w:rsid w:val="0CC924E1"/>
    <w:rsid w:val="0FDC6DDC"/>
    <w:rsid w:val="0FF113B4"/>
    <w:rsid w:val="10153773"/>
    <w:rsid w:val="124766C7"/>
    <w:rsid w:val="13897A84"/>
    <w:rsid w:val="14625214"/>
    <w:rsid w:val="151856A3"/>
    <w:rsid w:val="156A6C48"/>
    <w:rsid w:val="16F20FA5"/>
    <w:rsid w:val="172E2901"/>
    <w:rsid w:val="17522696"/>
    <w:rsid w:val="17B646A7"/>
    <w:rsid w:val="1A125DD7"/>
    <w:rsid w:val="1A9E2D2A"/>
    <w:rsid w:val="1AE91B95"/>
    <w:rsid w:val="1B917B2A"/>
    <w:rsid w:val="1BA710E0"/>
    <w:rsid w:val="1D646259"/>
    <w:rsid w:val="1DAD6772"/>
    <w:rsid w:val="1EAB7CF8"/>
    <w:rsid w:val="1F5C21FD"/>
    <w:rsid w:val="1F6C2875"/>
    <w:rsid w:val="207C531C"/>
    <w:rsid w:val="2163697C"/>
    <w:rsid w:val="21E902F3"/>
    <w:rsid w:val="22C1421E"/>
    <w:rsid w:val="23F673DF"/>
    <w:rsid w:val="241237D2"/>
    <w:rsid w:val="241E48FE"/>
    <w:rsid w:val="24552F25"/>
    <w:rsid w:val="24B94F5D"/>
    <w:rsid w:val="28AC5565"/>
    <w:rsid w:val="2A9C3C27"/>
    <w:rsid w:val="2AB46D47"/>
    <w:rsid w:val="2ABA1D20"/>
    <w:rsid w:val="2ACC2628"/>
    <w:rsid w:val="2CDF7FCA"/>
    <w:rsid w:val="2D4C5674"/>
    <w:rsid w:val="2EB37960"/>
    <w:rsid w:val="2EEB5B35"/>
    <w:rsid w:val="2F4640B2"/>
    <w:rsid w:val="306C6018"/>
    <w:rsid w:val="30D2020E"/>
    <w:rsid w:val="31052311"/>
    <w:rsid w:val="31CB6BCB"/>
    <w:rsid w:val="31D41E5A"/>
    <w:rsid w:val="321E5749"/>
    <w:rsid w:val="32EE5A1F"/>
    <w:rsid w:val="32F80037"/>
    <w:rsid w:val="335F57E4"/>
    <w:rsid w:val="33E0082A"/>
    <w:rsid w:val="341F31B1"/>
    <w:rsid w:val="345A2B71"/>
    <w:rsid w:val="348228B3"/>
    <w:rsid w:val="34FB4B47"/>
    <w:rsid w:val="35002A17"/>
    <w:rsid w:val="35B53FBE"/>
    <w:rsid w:val="366F59A4"/>
    <w:rsid w:val="37076A9B"/>
    <w:rsid w:val="37294C63"/>
    <w:rsid w:val="374455F9"/>
    <w:rsid w:val="37931EDE"/>
    <w:rsid w:val="37E3392E"/>
    <w:rsid w:val="38187CD1"/>
    <w:rsid w:val="38810BBF"/>
    <w:rsid w:val="39910906"/>
    <w:rsid w:val="3B475094"/>
    <w:rsid w:val="3B522AF9"/>
    <w:rsid w:val="3B725FD9"/>
    <w:rsid w:val="3B847542"/>
    <w:rsid w:val="3C555156"/>
    <w:rsid w:val="3CA76790"/>
    <w:rsid w:val="3DE767F5"/>
    <w:rsid w:val="3E2148E6"/>
    <w:rsid w:val="3EB05542"/>
    <w:rsid w:val="3F3A058D"/>
    <w:rsid w:val="40225F42"/>
    <w:rsid w:val="404A7814"/>
    <w:rsid w:val="40D774DE"/>
    <w:rsid w:val="41111275"/>
    <w:rsid w:val="42224789"/>
    <w:rsid w:val="42336336"/>
    <w:rsid w:val="42DF40A2"/>
    <w:rsid w:val="430C6032"/>
    <w:rsid w:val="43212C92"/>
    <w:rsid w:val="43C52611"/>
    <w:rsid w:val="43D065D1"/>
    <w:rsid w:val="45766B1A"/>
    <w:rsid w:val="466F15C3"/>
    <w:rsid w:val="46850BF5"/>
    <w:rsid w:val="46BB51AC"/>
    <w:rsid w:val="47061C28"/>
    <w:rsid w:val="477C493B"/>
    <w:rsid w:val="47E17C57"/>
    <w:rsid w:val="48AF18EA"/>
    <w:rsid w:val="49B772F8"/>
    <w:rsid w:val="4A737F34"/>
    <w:rsid w:val="4B5537FD"/>
    <w:rsid w:val="4C932E62"/>
    <w:rsid w:val="4D2F200A"/>
    <w:rsid w:val="4D4B68AA"/>
    <w:rsid w:val="4D5910D6"/>
    <w:rsid w:val="4D6F2D8A"/>
    <w:rsid w:val="4F354503"/>
    <w:rsid w:val="4F5C41E9"/>
    <w:rsid w:val="4FE10D9D"/>
    <w:rsid w:val="508C7415"/>
    <w:rsid w:val="519F29F3"/>
    <w:rsid w:val="51A9546B"/>
    <w:rsid w:val="523D16A2"/>
    <w:rsid w:val="52974503"/>
    <w:rsid w:val="535B3F9E"/>
    <w:rsid w:val="546130AE"/>
    <w:rsid w:val="55695501"/>
    <w:rsid w:val="55CF3F22"/>
    <w:rsid w:val="55D4652F"/>
    <w:rsid w:val="55E868F5"/>
    <w:rsid w:val="57106E4E"/>
    <w:rsid w:val="57892903"/>
    <w:rsid w:val="57B540F4"/>
    <w:rsid w:val="589A0927"/>
    <w:rsid w:val="58F16796"/>
    <w:rsid w:val="5941206A"/>
    <w:rsid w:val="5A5C1752"/>
    <w:rsid w:val="5AB32696"/>
    <w:rsid w:val="5BEB467B"/>
    <w:rsid w:val="5CE943C9"/>
    <w:rsid w:val="5D8F6D1E"/>
    <w:rsid w:val="5D92419E"/>
    <w:rsid w:val="5D9C0B7B"/>
    <w:rsid w:val="5DAE5589"/>
    <w:rsid w:val="5EBB4D3D"/>
    <w:rsid w:val="5EEC12FF"/>
    <w:rsid w:val="5F043159"/>
    <w:rsid w:val="5F0C25F1"/>
    <w:rsid w:val="5F134D2E"/>
    <w:rsid w:val="5FE4117E"/>
    <w:rsid w:val="60606752"/>
    <w:rsid w:val="62195750"/>
    <w:rsid w:val="6312780D"/>
    <w:rsid w:val="636A4517"/>
    <w:rsid w:val="64D465AF"/>
    <w:rsid w:val="66453378"/>
    <w:rsid w:val="671B51F5"/>
    <w:rsid w:val="67253254"/>
    <w:rsid w:val="679B1540"/>
    <w:rsid w:val="68136677"/>
    <w:rsid w:val="692C572C"/>
    <w:rsid w:val="69804E7D"/>
    <w:rsid w:val="69E95A08"/>
    <w:rsid w:val="69F26F8B"/>
    <w:rsid w:val="6AA02EBF"/>
    <w:rsid w:val="6AA942AB"/>
    <w:rsid w:val="6B1B4F5F"/>
    <w:rsid w:val="6B1E5B86"/>
    <w:rsid w:val="6BC62011"/>
    <w:rsid w:val="6CD51E62"/>
    <w:rsid w:val="6DA539A2"/>
    <w:rsid w:val="6DE30CE9"/>
    <w:rsid w:val="6E144C91"/>
    <w:rsid w:val="6F856331"/>
    <w:rsid w:val="6F9E47C4"/>
    <w:rsid w:val="70A0574C"/>
    <w:rsid w:val="70D64AC3"/>
    <w:rsid w:val="71393502"/>
    <w:rsid w:val="72CF7E12"/>
    <w:rsid w:val="737A0C74"/>
    <w:rsid w:val="75504E0A"/>
    <w:rsid w:val="75802B17"/>
    <w:rsid w:val="7778550C"/>
    <w:rsid w:val="78907FDD"/>
    <w:rsid w:val="7B072192"/>
    <w:rsid w:val="7BB37C24"/>
    <w:rsid w:val="7BEC26A9"/>
    <w:rsid w:val="7CC562E6"/>
    <w:rsid w:val="7CE3568D"/>
    <w:rsid w:val="7DB810DD"/>
    <w:rsid w:val="7EEA6F69"/>
    <w:rsid w:val="7F453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6"/>
    <w:link w:val="23"/>
    <w:qFormat/>
    <w:uiPriority w:val="0"/>
    <w:pPr>
      <w:keepNext/>
      <w:keepLines/>
      <w:tabs>
        <w:tab w:val="left" w:pos="720"/>
      </w:tabs>
      <w:spacing w:line="360" w:lineRule="auto"/>
      <w:outlineLvl w:val="2"/>
    </w:pPr>
    <w:rPr>
      <w:b/>
      <w:sz w:val="28"/>
      <w:szCs w:val="20"/>
      <w:lang w:val="zh-CN"/>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3"/>
    <w:basedOn w:val="1"/>
    <w:next w:val="1"/>
    <w:qFormat/>
    <w:uiPriority w:val="0"/>
    <w:pPr>
      <w:widowControl/>
      <w:adjustRightInd w:val="0"/>
      <w:spacing w:line="312" w:lineRule="auto"/>
      <w:jc w:val="left"/>
      <w:outlineLvl w:val="2"/>
    </w:pPr>
    <w:rPr>
      <w:rFonts w:ascii="Calibri" w:hAnsi="Calibri" w:cs="Arial"/>
      <w:b/>
      <w:bCs/>
      <w:kern w:val="24"/>
      <w:sz w:val="28"/>
      <w:szCs w:val="24"/>
    </w:rPr>
  </w:style>
  <w:style w:type="paragraph" w:styleId="6">
    <w:name w:val="Normal Indent"/>
    <w:basedOn w:val="1"/>
    <w:semiHidden/>
    <w:unhideWhenUsed/>
    <w:qFormat/>
    <w:uiPriority w:val="99"/>
    <w:pPr>
      <w:ind w:firstLine="420" w:firstLineChars="200"/>
    </w:pPr>
  </w:style>
  <w:style w:type="paragraph" w:styleId="7">
    <w:name w:val="annotation text"/>
    <w:basedOn w:val="1"/>
    <w:semiHidden/>
    <w:unhideWhenUsed/>
    <w:qFormat/>
    <w:uiPriority w:val="99"/>
    <w:pPr>
      <w:jc w:val="left"/>
    </w:pPr>
  </w:style>
  <w:style w:type="paragraph" w:styleId="8">
    <w:name w:val="toc 3"/>
    <w:basedOn w:val="1"/>
    <w:next w:val="1"/>
    <w:qFormat/>
    <w:uiPriority w:val="39"/>
    <w:pPr>
      <w:ind w:left="420"/>
      <w:jc w:val="left"/>
    </w:pPr>
    <w:rPr>
      <w:i/>
      <w:iCs/>
      <w:sz w:val="20"/>
      <w:szCs w:val="20"/>
    </w:rPr>
  </w:style>
  <w:style w:type="paragraph" w:styleId="9">
    <w:name w:val="Plain Text"/>
    <w:basedOn w:val="1"/>
    <w:link w:val="21"/>
    <w:qFormat/>
    <w:uiPriority w:val="0"/>
    <w:rPr>
      <w:rFonts w:ascii="宋体" w:hAnsi="Courier New" w:cs="Courier New" w:eastAsiaTheme="minorEastAsia"/>
      <w:szCs w:val="21"/>
    </w:rPr>
  </w:style>
  <w:style w:type="paragraph" w:styleId="10">
    <w:name w:val="Balloon Text"/>
    <w:basedOn w:val="1"/>
    <w:link w:val="31"/>
    <w:semiHidden/>
    <w:unhideWhenUsed/>
    <w:qFormat/>
    <w:uiPriority w:val="99"/>
    <w:rPr>
      <w:sz w:val="18"/>
      <w:szCs w:val="18"/>
    </w:rPr>
  </w:style>
  <w:style w:type="paragraph" w:styleId="11">
    <w:name w:val="footer"/>
    <w:basedOn w:val="1"/>
    <w:link w:val="20"/>
    <w:unhideWhenUsed/>
    <w:qFormat/>
    <w:uiPriority w:val="99"/>
    <w:pPr>
      <w:tabs>
        <w:tab w:val="center" w:pos="4153"/>
        <w:tab w:val="right" w:pos="8306"/>
      </w:tabs>
      <w:snapToGrid w:val="0"/>
      <w:jc w:val="left"/>
    </w:pPr>
    <w:rPr>
      <w:rFonts w:ascii="Calibri" w:hAnsi="Calibri"/>
      <w:kern w:val="0"/>
      <w:sz w:val="18"/>
      <w:szCs w:val="18"/>
      <w:lang w:val="zh-CN"/>
    </w:rPr>
  </w:style>
  <w:style w:type="paragraph" w:styleId="12">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9012"/>
      </w:tabs>
      <w:spacing w:before="120" w:after="120"/>
      <w:jc w:val="left"/>
    </w:pPr>
    <w:rPr>
      <w:rFonts w:ascii="宋体" w:hAnsi="宋体"/>
      <w:b/>
      <w:bCs/>
      <w:caps/>
      <w:sz w:val="28"/>
      <w:szCs w:val="28"/>
    </w:rPr>
  </w:style>
  <w:style w:type="paragraph" w:styleId="14">
    <w:name w:val="Title"/>
    <w:basedOn w:val="1"/>
    <w:next w:val="1"/>
    <w:link w:val="32"/>
    <w:qFormat/>
    <w:uiPriority w:val="0"/>
    <w:pPr>
      <w:spacing w:line="360" w:lineRule="auto"/>
      <w:jc w:val="left"/>
      <w:outlineLvl w:val="0"/>
    </w:pPr>
    <w:rPr>
      <w:rFonts w:ascii="Cambria" w:hAnsi="Cambria" w:eastAsia="等线"/>
      <w:b/>
      <w:bCs/>
      <w:sz w:val="28"/>
      <w:szCs w:val="32"/>
    </w:rPr>
  </w:style>
  <w:style w:type="character" w:styleId="17">
    <w:name w:val="Hyperlink"/>
    <w:unhideWhenUsed/>
    <w:qFormat/>
    <w:uiPriority w:val="99"/>
    <w:rPr>
      <w:color w:val="0000FF"/>
      <w:u w:val="single"/>
    </w:rPr>
  </w:style>
  <w:style w:type="character" w:customStyle="1" w:styleId="18">
    <w:name w:val="标题 3 字符"/>
    <w:basedOn w:val="16"/>
    <w:semiHidden/>
    <w:qFormat/>
    <w:uiPriority w:val="9"/>
    <w:rPr>
      <w:rFonts w:ascii="Times New Roman" w:hAnsi="Times New Roman" w:eastAsia="宋体" w:cs="Times New Roman"/>
      <w:b/>
      <w:bCs/>
      <w:sz w:val="32"/>
      <w:szCs w:val="32"/>
    </w:rPr>
  </w:style>
  <w:style w:type="character" w:customStyle="1" w:styleId="19">
    <w:name w:val="页脚 字符"/>
    <w:basedOn w:val="16"/>
    <w:semiHidden/>
    <w:qFormat/>
    <w:uiPriority w:val="99"/>
    <w:rPr>
      <w:rFonts w:ascii="Times New Roman" w:hAnsi="Times New Roman" w:eastAsia="宋体" w:cs="Times New Roman"/>
      <w:sz w:val="18"/>
      <w:szCs w:val="18"/>
    </w:rPr>
  </w:style>
  <w:style w:type="character" w:customStyle="1" w:styleId="20">
    <w:name w:val="页脚 字符1"/>
    <w:link w:val="11"/>
    <w:qFormat/>
    <w:uiPriority w:val="99"/>
    <w:rPr>
      <w:rFonts w:ascii="Calibri" w:hAnsi="Calibri" w:eastAsia="宋体" w:cs="Times New Roman"/>
      <w:kern w:val="0"/>
      <w:sz w:val="18"/>
      <w:szCs w:val="18"/>
      <w:lang w:val="zh-CN" w:eastAsia="zh-CN"/>
    </w:rPr>
  </w:style>
  <w:style w:type="character" w:customStyle="1" w:styleId="21">
    <w:name w:val="纯文本 字符1"/>
    <w:link w:val="9"/>
    <w:qFormat/>
    <w:locked/>
    <w:uiPriority w:val="0"/>
    <w:rPr>
      <w:rFonts w:ascii="宋体" w:hAnsi="Courier New" w:cs="Courier New"/>
      <w:szCs w:val="21"/>
    </w:rPr>
  </w:style>
  <w:style w:type="character" w:customStyle="1" w:styleId="22">
    <w:name w:val="纯文本 字符"/>
    <w:basedOn w:val="16"/>
    <w:qFormat/>
    <w:uiPriority w:val="0"/>
    <w:rPr>
      <w:rFonts w:hAnsi="Courier New" w:cs="Courier New" w:asciiTheme="minorEastAsia"/>
      <w:szCs w:val="24"/>
    </w:rPr>
  </w:style>
  <w:style w:type="character" w:customStyle="1" w:styleId="23">
    <w:name w:val="标题 3 字符1"/>
    <w:link w:val="5"/>
    <w:qFormat/>
    <w:uiPriority w:val="0"/>
    <w:rPr>
      <w:rFonts w:ascii="Times New Roman" w:hAnsi="Times New Roman" w:eastAsia="宋体" w:cs="Times New Roman"/>
      <w:b/>
      <w:sz w:val="28"/>
      <w:szCs w:val="20"/>
      <w:lang w:val="zh-CN" w:eastAsia="zh-CN"/>
    </w:rPr>
  </w:style>
  <w:style w:type="character" w:customStyle="1" w:styleId="24">
    <w:name w:val="标题 1 字符"/>
    <w:basedOn w:val="16"/>
    <w:link w:val="3"/>
    <w:qFormat/>
    <w:uiPriority w:val="9"/>
    <w:rPr>
      <w:rFonts w:ascii="Times New Roman" w:hAnsi="Times New Roman" w:eastAsia="宋体" w:cs="Times New Roman"/>
      <w:b/>
      <w:bCs/>
      <w:kern w:val="44"/>
      <w:sz w:val="44"/>
      <w:szCs w:val="44"/>
    </w:rPr>
  </w:style>
  <w:style w:type="paragraph" w:customStyle="1" w:styleId="25">
    <w:name w:val="TOC 标题1"/>
    <w:basedOn w:val="3"/>
    <w:next w:val="1"/>
    <w:qFormat/>
    <w:uiPriority w:val="39"/>
    <w:pPr>
      <w:widowControl/>
      <w:tabs>
        <w:tab w:val="left" w:pos="1800"/>
      </w:tabs>
      <w:spacing w:before="480" w:after="0" w:line="276" w:lineRule="auto"/>
      <w:jc w:val="left"/>
      <w:outlineLvl w:val="9"/>
    </w:pPr>
    <w:rPr>
      <w:rFonts w:ascii="Cambria" w:hAnsi="Cambria"/>
      <w:color w:val="365F91"/>
      <w:kern w:val="0"/>
      <w:sz w:val="28"/>
      <w:szCs w:val="28"/>
      <w:lang w:val="zh-CN"/>
    </w:rPr>
  </w:style>
  <w:style w:type="paragraph" w:styleId="26">
    <w:name w:val="List Paragraph"/>
    <w:basedOn w:val="1"/>
    <w:qFormat/>
    <w:uiPriority w:val="34"/>
    <w:pPr>
      <w:ind w:firstLine="420" w:firstLineChars="200"/>
    </w:pPr>
    <w:rPr>
      <w:rFonts w:ascii="Calibri" w:hAnsi="Calibri"/>
      <w:szCs w:val="22"/>
    </w:rPr>
  </w:style>
  <w:style w:type="paragraph" w:customStyle="1" w:styleId="27">
    <w:name w:val="列出段落1"/>
    <w:basedOn w:val="1"/>
    <w:qFormat/>
    <w:uiPriority w:val="0"/>
    <w:pPr>
      <w:ind w:firstLine="420" w:firstLineChars="200"/>
    </w:pPr>
    <w:rPr>
      <w:rFonts w:ascii="Calibri" w:hAnsi="Calibri"/>
      <w:szCs w:val="22"/>
    </w:rPr>
  </w:style>
  <w:style w:type="character" w:customStyle="1" w:styleId="28">
    <w:name w:val="页眉 字符"/>
    <w:basedOn w:val="16"/>
    <w:link w:val="12"/>
    <w:qFormat/>
    <w:uiPriority w:val="99"/>
    <w:rPr>
      <w:rFonts w:ascii="Times New Roman" w:hAnsi="Times New Roman" w:eastAsia="宋体" w:cs="Times New Roman"/>
      <w:kern w:val="2"/>
      <w:sz w:val="18"/>
      <w:szCs w:val="18"/>
    </w:rPr>
  </w:style>
  <w:style w:type="character" w:customStyle="1" w:styleId="29">
    <w:name w:val="标题 2 字符"/>
    <w:basedOn w:val="16"/>
    <w:link w:val="4"/>
    <w:semiHidden/>
    <w:qFormat/>
    <w:uiPriority w:val="9"/>
    <w:rPr>
      <w:rFonts w:asciiTheme="majorHAnsi" w:hAnsiTheme="majorHAnsi" w:eastAsiaTheme="majorEastAsia" w:cstheme="majorBidi"/>
      <w:b/>
      <w:bCs/>
      <w:kern w:val="2"/>
      <w:sz w:val="32"/>
      <w:szCs w:val="32"/>
    </w:rPr>
  </w:style>
  <w:style w:type="character" w:customStyle="1" w:styleId="30">
    <w:name w:val="标题 2 Char"/>
    <w:qFormat/>
    <w:uiPriority w:val="0"/>
    <w:rPr>
      <w:rFonts w:ascii="Arial" w:hAnsi="Arial" w:eastAsia="宋体" w:cs="Times New Roman"/>
      <w:b/>
      <w:kern w:val="2"/>
      <w:sz w:val="52"/>
    </w:rPr>
  </w:style>
  <w:style w:type="character" w:customStyle="1" w:styleId="31">
    <w:name w:val="批注框文本 字符"/>
    <w:basedOn w:val="16"/>
    <w:link w:val="10"/>
    <w:semiHidden/>
    <w:qFormat/>
    <w:uiPriority w:val="99"/>
    <w:rPr>
      <w:rFonts w:ascii="Times New Roman" w:hAnsi="Times New Roman" w:eastAsia="宋体" w:cs="Times New Roman"/>
      <w:kern w:val="2"/>
      <w:sz w:val="18"/>
      <w:szCs w:val="18"/>
    </w:rPr>
  </w:style>
  <w:style w:type="character" w:customStyle="1" w:styleId="32">
    <w:name w:val="标题 字符"/>
    <w:basedOn w:val="16"/>
    <w:link w:val="14"/>
    <w:qFormat/>
    <w:uiPriority w:val="0"/>
    <w:rPr>
      <w:rFonts w:ascii="Cambria" w:hAnsi="Cambria" w:eastAsia="等线" w:cs="Times New Roman"/>
      <w:b/>
      <w:bCs/>
      <w:kern w:val="2"/>
      <w:sz w:val="28"/>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Company>
  <Pages>7</Pages>
  <Words>4464</Words>
  <Characters>4477</Characters>
  <Lines>41</Lines>
  <Paragraphs>11</Paragraphs>
  <TotalTime>2</TotalTime>
  <ScaleCrop>false</ScaleCrop>
  <LinksUpToDate>false</LinksUpToDate>
  <CharactersWithSpaces>4532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2021-09-02T10:38:00Z</dcterms:created>
  <dc:creator>李艾斯</dc:creator>
  <cp:lastModifiedBy>广东省建筑工程监理有限公司[广东省建筑工程监理有限公司]</cp:lastModifiedBy>
  <cp:lastPrinted>2021-09-26T09:53:00Z</cp:lastPrinted>
  <dcterms:modified xsi:type="dcterms:W3CDTF">2025-08-21T02:07:04Z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A04AE221472046A58410FAA6CB50CB2A_13</vt:lpwstr>
  </property>
  <property fmtid="{D5CDD505-2E9C-101B-9397-08002B2CF9AE}" pid="4" name="KSOTemplateDocerSaveRecord">
    <vt:lpwstr>eyJoZGlkIjoiMTlhODk4NDM5OWM4YWU4MDU5ODA5ZThlMTI4ZWI3MDkiLCJ1c2VySWQiOiI0NTI0NTE4NjAifQ==</vt:lpwstr>
  </property>
</Properties>
</file>